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0D56" w14:textId="669EF104" w:rsidR="00834274" w:rsidRPr="00834274" w:rsidRDefault="005B6F1C" w:rsidP="00834274">
      <w:pPr>
        <w:pStyle w:val="BodyText"/>
        <w:kinsoku w:val="0"/>
        <w:overflowPunct w:val="0"/>
        <w:spacing w:before="5"/>
        <w:jc w:val="center"/>
        <w:rPr>
          <w:b/>
          <w:bCs/>
          <w:i w:val="0"/>
          <w:sz w:val="32"/>
          <w:szCs w:val="32"/>
        </w:rPr>
      </w:pPr>
      <w:r>
        <w:rPr>
          <w:b/>
          <w:bCs/>
          <w:i w:val="0"/>
          <w:sz w:val="32"/>
          <w:szCs w:val="32"/>
        </w:rPr>
        <w:t>ENVIRONMENTAL</w:t>
      </w:r>
      <w:r w:rsidR="00F34CA6">
        <w:rPr>
          <w:b/>
          <w:bCs/>
          <w:i w:val="0"/>
          <w:sz w:val="32"/>
          <w:szCs w:val="32"/>
        </w:rPr>
        <w:t>, HEAL</w:t>
      </w:r>
      <w:r w:rsidR="005D78D2">
        <w:rPr>
          <w:b/>
          <w:bCs/>
          <w:i w:val="0"/>
          <w:sz w:val="32"/>
          <w:szCs w:val="32"/>
        </w:rPr>
        <w:t>T</w:t>
      </w:r>
      <w:r w:rsidR="00F34CA6">
        <w:rPr>
          <w:b/>
          <w:bCs/>
          <w:i w:val="0"/>
          <w:sz w:val="32"/>
          <w:szCs w:val="32"/>
        </w:rPr>
        <w:t>H AND SAFETY</w:t>
      </w:r>
      <w:r w:rsidR="003278C6">
        <w:rPr>
          <w:b/>
          <w:bCs/>
          <w:i w:val="0"/>
          <w:sz w:val="32"/>
          <w:szCs w:val="32"/>
        </w:rPr>
        <w:t xml:space="preserve"> POLICY</w:t>
      </w:r>
      <w:r w:rsidR="007D3816">
        <w:rPr>
          <w:b/>
          <w:bCs/>
          <w:i w:val="0"/>
          <w:sz w:val="32"/>
          <w:szCs w:val="32"/>
        </w:rPr>
        <w:t xml:space="preserve"> </w:t>
      </w:r>
      <w:r w:rsidR="003278C6">
        <w:rPr>
          <w:b/>
          <w:bCs/>
          <w:i w:val="0"/>
          <w:sz w:val="32"/>
          <w:szCs w:val="32"/>
        </w:rPr>
        <w:t>[</w:t>
      </w:r>
      <w:r w:rsidR="00603C40">
        <w:rPr>
          <w:b/>
          <w:bCs/>
          <w:i w:val="0"/>
          <w:sz w:val="32"/>
          <w:szCs w:val="32"/>
        </w:rPr>
        <w:t>EHS-C</w:t>
      </w:r>
      <w:r>
        <w:rPr>
          <w:b/>
          <w:bCs/>
          <w:i w:val="0"/>
          <w:sz w:val="32"/>
          <w:szCs w:val="32"/>
        </w:rPr>
        <w:t>1</w:t>
      </w:r>
      <w:r w:rsidR="003278C6">
        <w:rPr>
          <w:b/>
          <w:bCs/>
          <w:i w:val="0"/>
          <w:sz w:val="32"/>
          <w:szCs w:val="32"/>
        </w:rPr>
        <w:t>]</w:t>
      </w:r>
    </w:p>
    <w:p w14:paraId="2111D517" w14:textId="77777777" w:rsidR="009A3D07" w:rsidRDefault="009A3D07" w:rsidP="00047AB7">
      <w:pPr>
        <w:pStyle w:val="BodyText"/>
        <w:kinsoku w:val="0"/>
        <w:overflowPunct w:val="0"/>
        <w:spacing w:before="5"/>
        <w:rPr>
          <w:b/>
          <w:bCs/>
          <w:i w:val="0"/>
          <w:iCs w:val="0"/>
          <w:sz w:val="21"/>
          <w:szCs w:val="21"/>
        </w:rPr>
      </w:pPr>
    </w:p>
    <w:tbl>
      <w:tblPr>
        <w:tblW w:w="10517" w:type="dxa"/>
        <w:tblInd w:w="-104" w:type="dxa"/>
        <w:tblLayout w:type="fixed"/>
        <w:tblCellMar>
          <w:left w:w="0" w:type="dxa"/>
          <w:right w:w="0" w:type="dxa"/>
        </w:tblCellMar>
        <w:tblLook w:val="0000" w:firstRow="0" w:lastRow="0" w:firstColumn="0" w:lastColumn="0" w:noHBand="0" w:noVBand="0"/>
      </w:tblPr>
      <w:tblGrid>
        <w:gridCol w:w="1530"/>
        <w:gridCol w:w="5580"/>
        <w:gridCol w:w="3407"/>
      </w:tblGrid>
      <w:tr w:rsidR="009A3D07" w:rsidRPr="00496837" w14:paraId="3A15B8E5" w14:textId="77777777" w:rsidTr="00A11F4E">
        <w:trPr>
          <w:trHeight w:hRule="exact" w:val="326"/>
        </w:trPr>
        <w:tc>
          <w:tcPr>
            <w:tcW w:w="1530" w:type="dxa"/>
            <w:tcBorders>
              <w:top w:val="single" w:sz="11" w:space="0" w:color="000000"/>
              <w:left w:val="single" w:sz="11" w:space="0" w:color="000000"/>
              <w:bottom w:val="single" w:sz="5" w:space="0" w:color="000000"/>
              <w:right w:val="single" w:sz="5" w:space="0" w:color="000000"/>
            </w:tcBorders>
            <w:shd w:val="clear" w:color="auto" w:fill="E5E5E5"/>
          </w:tcPr>
          <w:p w14:paraId="4428A58D" w14:textId="77777777" w:rsidR="009A3D07" w:rsidRPr="00496837" w:rsidRDefault="009A3D07" w:rsidP="00047AB7">
            <w:pPr>
              <w:pStyle w:val="TableParagraph"/>
              <w:kinsoku w:val="0"/>
              <w:overflowPunct w:val="0"/>
              <w:spacing w:before="54"/>
              <w:ind w:left="-881" w:right="165"/>
              <w:rPr>
                <w:rFonts w:ascii="Times New Roman" w:hAnsi="Times New Roman" w:cs="Times New Roman"/>
              </w:rPr>
            </w:pPr>
            <w:r w:rsidRPr="00496837">
              <w:rPr>
                <w:b/>
                <w:bCs/>
                <w:sz w:val="16"/>
                <w:szCs w:val="16"/>
              </w:rPr>
              <w:t>Role</w:t>
            </w:r>
          </w:p>
        </w:tc>
        <w:tc>
          <w:tcPr>
            <w:tcW w:w="5580" w:type="dxa"/>
            <w:tcBorders>
              <w:top w:val="single" w:sz="11" w:space="0" w:color="000000"/>
              <w:left w:val="single" w:sz="5" w:space="0" w:color="000000"/>
              <w:bottom w:val="single" w:sz="5" w:space="0" w:color="000000"/>
              <w:right w:val="single" w:sz="5" w:space="0" w:color="000000"/>
            </w:tcBorders>
            <w:shd w:val="clear" w:color="auto" w:fill="E5E5E5"/>
          </w:tcPr>
          <w:p w14:paraId="6663F606" w14:textId="77777777" w:rsidR="009A3D07" w:rsidRPr="00496837" w:rsidRDefault="009A3D07" w:rsidP="00047AB7">
            <w:pPr>
              <w:pStyle w:val="TableParagraph"/>
              <w:kinsoku w:val="0"/>
              <w:overflowPunct w:val="0"/>
              <w:spacing w:before="54"/>
              <w:ind w:left="0" w:right="1472"/>
              <w:rPr>
                <w:rFonts w:ascii="Times New Roman" w:hAnsi="Times New Roman" w:cs="Times New Roman"/>
              </w:rPr>
            </w:pPr>
            <w:r w:rsidRPr="00496837">
              <w:rPr>
                <w:b/>
                <w:bCs/>
                <w:sz w:val="16"/>
                <w:szCs w:val="16"/>
              </w:rPr>
              <w:t>Name</w:t>
            </w:r>
          </w:p>
        </w:tc>
        <w:tc>
          <w:tcPr>
            <w:tcW w:w="3407" w:type="dxa"/>
            <w:tcBorders>
              <w:top w:val="single" w:sz="11" w:space="0" w:color="000000"/>
              <w:left w:val="single" w:sz="5" w:space="0" w:color="000000"/>
              <w:bottom w:val="single" w:sz="5" w:space="0" w:color="000000"/>
              <w:right w:val="single" w:sz="11" w:space="0" w:color="000000"/>
            </w:tcBorders>
            <w:shd w:val="clear" w:color="auto" w:fill="E5E5E5"/>
          </w:tcPr>
          <w:p w14:paraId="23E24249" w14:textId="77777777" w:rsidR="009A3D07" w:rsidRPr="00496837" w:rsidRDefault="009A3D07" w:rsidP="00047AB7">
            <w:pPr>
              <w:pStyle w:val="TableParagraph"/>
              <w:kinsoku w:val="0"/>
              <w:overflowPunct w:val="0"/>
              <w:spacing w:before="54"/>
              <w:ind w:left="0" w:right="1460"/>
              <w:rPr>
                <w:rFonts w:ascii="Times New Roman" w:hAnsi="Times New Roman" w:cs="Times New Roman"/>
              </w:rPr>
            </w:pPr>
            <w:r w:rsidRPr="00496837">
              <w:rPr>
                <w:b/>
                <w:bCs/>
                <w:sz w:val="16"/>
                <w:szCs w:val="16"/>
              </w:rPr>
              <w:t>Date</w:t>
            </w:r>
          </w:p>
        </w:tc>
      </w:tr>
      <w:tr w:rsidR="009A3D07" w:rsidRPr="00493EFF" w14:paraId="3179EA5A" w14:textId="77777777" w:rsidTr="00A11F4E">
        <w:trPr>
          <w:trHeight w:hRule="exact" w:val="319"/>
        </w:trPr>
        <w:tc>
          <w:tcPr>
            <w:tcW w:w="1530" w:type="dxa"/>
            <w:tcBorders>
              <w:top w:val="single" w:sz="5" w:space="0" w:color="000000"/>
              <w:left w:val="single" w:sz="11" w:space="0" w:color="000000"/>
              <w:bottom w:val="single" w:sz="5" w:space="0" w:color="000000"/>
              <w:right w:val="single" w:sz="5" w:space="0" w:color="000000"/>
            </w:tcBorders>
          </w:tcPr>
          <w:p w14:paraId="6E6302E1" w14:textId="77777777" w:rsidR="009A3D07" w:rsidRPr="00493EFF" w:rsidRDefault="009A3D07" w:rsidP="00047AB7">
            <w:pPr>
              <w:pStyle w:val="TableParagraph"/>
              <w:kinsoku w:val="0"/>
              <w:overflowPunct w:val="0"/>
              <w:spacing w:before="56"/>
              <w:ind w:left="0" w:right="167"/>
              <w:rPr>
                <w:sz w:val="16"/>
                <w:szCs w:val="16"/>
              </w:rPr>
            </w:pPr>
            <w:r w:rsidRPr="00493EFF">
              <w:rPr>
                <w:sz w:val="16"/>
                <w:szCs w:val="16"/>
              </w:rPr>
              <w:t>Prepared</w:t>
            </w:r>
          </w:p>
        </w:tc>
        <w:tc>
          <w:tcPr>
            <w:tcW w:w="5580" w:type="dxa"/>
            <w:tcBorders>
              <w:top w:val="single" w:sz="5" w:space="0" w:color="000000"/>
              <w:left w:val="single" w:sz="5" w:space="0" w:color="000000"/>
              <w:bottom w:val="single" w:sz="5" w:space="0" w:color="000000"/>
              <w:right w:val="single" w:sz="5" w:space="0" w:color="000000"/>
            </w:tcBorders>
          </w:tcPr>
          <w:p w14:paraId="67725BD6" w14:textId="6EE44A0F" w:rsidR="009A3D07" w:rsidRPr="00493EFF" w:rsidRDefault="001C0D99" w:rsidP="005D344D">
            <w:pPr>
              <w:pStyle w:val="TableParagraph"/>
              <w:kinsoku w:val="0"/>
              <w:overflowPunct w:val="0"/>
              <w:spacing w:before="56"/>
              <w:ind w:left="0" w:right="1469"/>
              <w:jc w:val="left"/>
              <w:rPr>
                <w:sz w:val="16"/>
                <w:szCs w:val="16"/>
              </w:rPr>
            </w:pPr>
            <w:r>
              <w:rPr>
                <w:sz w:val="16"/>
                <w:szCs w:val="16"/>
              </w:rPr>
              <w:t xml:space="preserve"> Paul Antonneau</w:t>
            </w:r>
            <w:r w:rsidR="009308EF">
              <w:rPr>
                <w:sz w:val="16"/>
                <w:szCs w:val="16"/>
              </w:rPr>
              <w:t>, Sr. Director - EHS</w:t>
            </w:r>
          </w:p>
        </w:tc>
        <w:tc>
          <w:tcPr>
            <w:tcW w:w="3407" w:type="dxa"/>
            <w:tcBorders>
              <w:top w:val="single" w:sz="5" w:space="0" w:color="000000"/>
              <w:left w:val="single" w:sz="5" w:space="0" w:color="000000"/>
              <w:bottom w:val="single" w:sz="5" w:space="0" w:color="000000"/>
              <w:right w:val="single" w:sz="11" w:space="0" w:color="000000"/>
            </w:tcBorders>
          </w:tcPr>
          <w:p w14:paraId="293A0260" w14:textId="4BB92454" w:rsidR="009A3D07" w:rsidRPr="00493EFF" w:rsidRDefault="001C0D99" w:rsidP="00CC34F6">
            <w:pPr>
              <w:pStyle w:val="TableParagraph"/>
              <w:kinsoku w:val="0"/>
              <w:overflowPunct w:val="0"/>
              <w:spacing w:before="56"/>
              <w:ind w:left="0" w:right="1460"/>
              <w:jc w:val="left"/>
              <w:rPr>
                <w:sz w:val="16"/>
                <w:szCs w:val="16"/>
              </w:rPr>
            </w:pPr>
            <w:r>
              <w:rPr>
                <w:sz w:val="16"/>
                <w:szCs w:val="16"/>
              </w:rPr>
              <w:t xml:space="preserve"> </w:t>
            </w:r>
            <w:r w:rsidR="009308EF">
              <w:rPr>
                <w:sz w:val="16"/>
                <w:szCs w:val="16"/>
              </w:rPr>
              <w:t>July 8, 2022</w:t>
            </w:r>
          </w:p>
        </w:tc>
      </w:tr>
      <w:tr w:rsidR="009A3D07" w:rsidRPr="00493EFF" w14:paraId="39ECA0DC" w14:textId="77777777" w:rsidTr="00A11F4E">
        <w:trPr>
          <w:trHeight w:hRule="exact" w:val="319"/>
        </w:trPr>
        <w:tc>
          <w:tcPr>
            <w:tcW w:w="1530" w:type="dxa"/>
            <w:tcBorders>
              <w:top w:val="single" w:sz="5" w:space="0" w:color="000000"/>
              <w:left w:val="single" w:sz="11" w:space="0" w:color="000000"/>
              <w:bottom w:val="single" w:sz="5" w:space="0" w:color="000000"/>
              <w:right w:val="single" w:sz="5" w:space="0" w:color="000000"/>
            </w:tcBorders>
          </w:tcPr>
          <w:p w14:paraId="2D20517E" w14:textId="77777777" w:rsidR="009A3D07" w:rsidRPr="00493EFF" w:rsidRDefault="009A3D07" w:rsidP="00047AB7">
            <w:pPr>
              <w:pStyle w:val="TableParagraph"/>
              <w:kinsoku w:val="0"/>
              <w:overflowPunct w:val="0"/>
              <w:spacing w:before="56"/>
              <w:ind w:left="0" w:right="170"/>
              <w:rPr>
                <w:sz w:val="16"/>
                <w:szCs w:val="16"/>
              </w:rPr>
            </w:pPr>
            <w:r w:rsidRPr="00493EFF">
              <w:rPr>
                <w:sz w:val="16"/>
                <w:szCs w:val="16"/>
              </w:rPr>
              <w:t>Approved</w:t>
            </w:r>
          </w:p>
        </w:tc>
        <w:tc>
          <w:tcPr>
            <w:tcW w:w="5580" w:type="dxa"/>
            <w:tcBorders>
              <w:top w:val="single" w:sz="5" w:space="0" w:color="000000"/>
              <w:left w:val="single" w:sz="5" w:space="0" w:color="000000"/>
              <w:bottom w:val="single" w:sz="5" w:space="0" w:color="000000"/>
              <w:right w:val="single" w:sz="5" w:space="0" w:color="000000"/>
            </w:tcBorders>
          </w:tcPr>
          <w:p w14:paraId="62F353B7" w14:textId="042DCED7" w:rsidR="00581A0F" w:rsidRPr="00493EFF" w:rsidRDefault="009308EF" w:rsidP="00396657">
            <w:pPr>
              <w:pStyle w:val="TableParagraph"/>
              <w:kinsoku w:val="0"/>
              <w:overflowPunct w:val="0"/>
              <w:spacing w:before="56"/>
              <w:ind w:left="0" w:right="1471"/>
              <w:jc w:val="left"/>
              <w:rPr>
                <w:sz w:val="16"/>
                <w:szCs w:val="16"/>
              </w:rPr>
            </w:pPr>
            <w:r>
              <w:rPr>
                <w:sz w:val="16"/>
                <w:szCs w:val="16"/>
              </w:rPr>
              <w:t xml:space="preserve"> Brian Perry, President, Commercial</w:t>
            </w:r>
            <w:r w:rsidR="00A11F4E">
              <w:rPr>
                <w:sz w:val="16"/>
                <w:szCs w:val="16"/>
              </w:rPr>
              <w:t xml:space="preserve"> &amp; </w:t>
            </w:r>
            <w:r>
              <w:rPr>
                <w:sz w:val="16"/>
                <w:szCs w:val="16"/>
              </w:rPr>
              <w:t>SRVP Operations</w:t>
            </w:r>
          </w:p>
        </w:tc>
        <w:tc>
          <w:tcPr>
            <w:tcW w:w="3407" w:type="dxa"/>
            <w:tcBorders>
              <w:top w:val="single" w:sz="5" w:space="0" w:color="000000"/>
              <w:left w:val="single" w:sz="5" w:space="0" w:color="000000"/>
              <w:bottom w:val="single" w:sz="5" w:space="0" w:color="000000"/>
              <w:right w:val="single" w:sz="11" w:space="0" w:color="000000"/>
            </w:tcBorders>
          </w:tcPr>
          <w:p w14:paraId="2BDF8B38" w14:textId="0737DDDB" w:rsidR="009A3D07" w:rsidRPr="00493EFF" w:rsidRDefault="001C0D99" w:rsidP="00CC34F6">
            <w:pPr>
              <w:pStyle w:val="TableParagraph"/>
              <w:kinsoku w:val="0"/>
              <w:overflowPunct w:val="0"/>
              <w:spacing w:before="56"/>
              <w:ind w:left="0" w:right="1460"/>
              <w:jc w:val="left"/>
              <w:rPr>
                <w:sz w:val="16"/>
                <w:szCs w:val="16"/>
              </w:rPr>
            </w:pPr>
            <w:r>
              <w:rPr>
                <w:sz w:val="16"/>
                <w:szCs w:val="16"/>
              </w:rPr>
              <w:t xml:space="preserve"> </w:t>
            </w:r>
            <w:r w:rsidR="009308EF">
              <w:rPr>
                <w:sz w:val="16"/>
                <w:szCs w:val="16"/>
              </w:rPr>
              <w:t>July 8, 2022</w:t>
            </w:r>
          </w:p>
        </w:tc>
      </w:tr>
      <w:tr w:rsidR="009A3D07" w:rsidRPr="00493EFF" w14:paraId="2EA838E0" w14:textId="77777777" w:rsidTr="00047AB7">
        <w:trPr>
          <w:trHeight w:hRule="exact" w:val="326"/>
        </w:trPr>
        <w:tc>
          <w:tcPr>
            <w:tcW w:w="1530" w:type="dxa"/>
            <w:tcBorders>
              <w:top w:val="single" w:sz="5" w:space="0" w:color="000000"/>
              <w:left w:val="single" w:sz="11" w:space="0" w:color="000000"/>
              <w:bottom w:val="none" w:sz="6" w:space="0" w:color="auto"/>
              <w:right w:val="single" w:sz="5" w:space="0" w:color="000000"/>
            </w:tcBorders>
          </w:tcPr>
          <w:p w14:paraId="45E3F6A2" w14:textId="77777777" w:rsidR="009A3D07" w:rsidRPr="00493EFF" w:rsidRDefault="009A3D07" w:rsidP="00047AB7">
            <w:pPr>
              <w:pStyle w:val="TableParagraph"/>
              <w:kinsoku w:val="0"/>
              <w:overflowPunct w:val="0"/>
              <w:spacing w:before="54"/>
              <w:ind w:left="0" w:right="167"/>
              <w:rPr>
                <w:sz w:val="16"/>
                <w:szCs w:val="16"/>
              </w:rPr>
            </w:pPr>
            <w:r w:rsidRPr="00493EFF">
              <w:rPr>
                <w:b/>
                <w:bCs/>
                <w:sz w:val="16"/>
                <w:szCs w:val="16"/>
              </w:rPr>
              <w:t>Effective</w:t>
            </w:r>
          </w:p>
        </w:tc>
        <w:tc>
          <w:tcPr>
            <w:tcW w:w="8987" w:type="dxa"/>
            <w:gridSpan w:val="2"/>
            <w:tcBorders>
              <w:top w:val="single" w:sz="5" w:space="0" w:color="000000"/>
              <w:left w:val="single" w:sz="5" w:space="0" w:color="000000"/>
              <w:bottom w:val="none" w:sz="6" w:space="0" w:color="auto"/>
              <w:right w:val="single" w:sz="11" w:space="0" w:color="000000"/>
            </w:tcBorders>
          </w:tcPr>
          <w:p w14:paraId="55796F1B" w14:textId="684A609C" w:rsidR="009A3D07" w:rsidRPr="00493EFF" w:rsidRDefault="009308EF" w:rsidP="00CC34F6">
            <w:pPr>
              <w:pStyle w:val="TableParagraph"/>
              <w:kinsoku w:val="0"/>
              <w:overflowPunct w:val="0"/>
              <w:spacing w:before="56"/>
              <w:ind w:left="0" w:right="3726"/>
              <w:jc w:val="left"/>
              <w:rPr>
                <w:sz w:val="16"/>
                <w:szCs w:val="16"/>
              </w:rPr>
            </w:pPr>
            <w:r>
              <w:rPr>
                <w:sz w:val="16"/>
                <w:szCs w:val="16"/>
              </w:rPr>
              <w:t xml:space="preserve"> July 11, 2022</w:t>
            </w:r>
          </w:p>
        </w:tc>
      </w:tr>
      <w:tr w:rsidR="009A3D07" w:rsidRPr="00496837" w14:paraId="2E6EF774" w14:textId="77777777" w:rsidTr="00047AB7">
        <w:trPr>
          <w:trHeight w:hRule="exact" w:val="485"/>
        </w:trPr>
        <w:tc>
          <w:tcPr>
            <w:tcW w:w="10517" w:type="dxa"/>
            <w:gridSpan w:val="3"/>
            <w:tcBorders>
              <w:top w:val="none" w:sz="6" w:space="0" w:color="auto"/>
              <w:left w:val="none" w:sz="6" w:space="0" w:color="auto"/>
              <w:bottom w:val="none" w:sz="6" w:space="0" w:color="auto"/>
              <w:right w:val="none" w:sz="6" w:space="0" w:color="auto"/>
            </w:tcBorders>
            <w:shd w:val="clear" w:color="auto" w:fill="000000"/>
          </w:tcPr>
          <w:p w14:paraId="069AA998" w14:textId="77777777" w:rsidR="009A3D07" w:rsidRPr="00496837" w:rsidRDefault="009A3D07" w:rsidP="00047AB7">
            <w:pPr>
              <w:pStyle w:val="TableParagraph"/>
              <w:kinsoku w:val="0"/>
              <w:overflowPunct w:val="0"/>
              <w:spacing w:before="58"/>
              <w:ind w:left="0" w:right="964"/>
              <w:rPr>
                <w:color w:val="FFFFFF"/>
                <w:sz w:val="12"/>
                <w:szCs w:val="12"/>
              </w:rPr>
            </w:pPr>
            <w:r w:rsidRPr="00496837">
              <w:rPr>
                <w:color w:val="FFFFFF"/>
                <w:sz w:val="12"/>
                <w:szCs w:val="12"/>
              </w:rPr>
              <w:t>Electronic copies valid without signature.</w:t>
            </w:r>
          </w:p>
          <w:p w14:paraId="7668D2E1" w14:textId="77777777" w:rsidR="009A3D07" w:rsidRPr="00496837" w:rsidRDefault="009A3D07" w:rsidP="00047AB7">
            <w:pPr>
              <w:pStyle w:val="TableParagraph"/>
              <w:kinsoku w:val="0"/>
              <w:overflowPunct w:val="0"/>
              <w:spacing w:before="59"/>
              <w:ind w:left="0" w:right="964"/>
              <w:rPr>
                <w:rFonts w:ascii="Times New Roman" w:hAnsi="Times New Roman" w:cs="Times New Roman"/>
              </w:rPr>
            </w:pPr>
            <w:r w:rsidRPr="00496837">
              <w:rPr>
                <w:color w:val="FFFFFF"/>
                <w:sz w:val="12"/>
                <w:szCs w:val="12"/>
              </w:rPr>
              <w:t>Master files are stored electronically and are available to all individuals within the scope of this document. Printed copies are for reference only.</w:t>
            </w:r>
          </w:p>
        </w:tc>
      </w:tr>
    </w:tbl>
    <w:p w14:paraId="18BBF747" w14:textId="24B00231" w:rsidR="009A3D07" w:rsidRDefault="009A3D07" w:rsidP="00914EFC">
      <w:pPr>
        <w:pStyle w:val="Heading1"/>
        <w:numPr>
          <w:ilvl w:val="0"/>
          <w:numId w:val="2"/>
        </w:numPr>
        <w:tabs>
          <w:tab w:val="left" w:pos="1416"/>
        </w:tabs>
        <w:kinsoku w:val="0"/>
        <w:overflowPunct w:val="0"/>
        <w:spacing w:before="320"/>
        <w:ind w:left="0" w:firstLine="0"/>
        <w:rPr>
          <w:color w:val="323299"/>
        </w:rPr>
      </w:pPr>
      <w:r w:rsidRPr="005C7CFA">
        <w:rPr>
          <w:color w:val="323299"/>
        </w:rPr>
        <w:t>Purpose</w:t>
      </w:r>
    </w:p>
    <w:p w14:paraId="50FF4972" w14:textId="14A401D9" w:rsidR="00CE50EF" w:rsidRPr="00914EFC" w:rsidRDefault="00C34D4D" w:rsidP="0010278B">
      <w:pPr>
        <w:pStyle w:val="ListParagraph"/>
        <w:spacing w:before="200" w:after="120" w:line="240" w:lineRule="atLeast"/>
        <w:ind w:left="0" w:firstLine="0"/>
        <w:rPr>
          <w:bCs/>
          <w:sz w:val="18"/>
          <w:szCs w:val="18"/>
        </w:rPr>
      </w:pPr>
      <w:r>
        <w:rPr>
          <w:bCs/>
          <w:sz w:val="18"/>
          <w:szCs w:val="18"/>
        </w:rPr>
        <w:t>To formalize REV’s commitment to p</w:t>
      </w:r>
      <w:r w:rsidR="00251753" w:rsidRPr="00914EFC">
        <w:rPr>
          <w:bCs/>
          <w:sz w:val="18"/>
          <w:szCs w:val="18"/>
        </w:rPr>
        <w:t>rovid</w:t>
      </w:r>
      <w:r w:rsidR="008F664D">
        <w:rPr>
          <w:bCs/>
          <w:sz w:val="18"/>
          <w:szCs w:val="18"/>
        </w:rPr>
        <w:t>ing</w:t>
      </w:r>
      <w:r w:rsidR="00251753" w:rsidRPr="00914EFC">
        <w:rPr>
          <w:bCs/>
          <w:sz w:val="18"/>
          <w:szCs w:val="18"/>
        </w:rPr>
        <w:t xml:space="preserve"> </w:t>
      </w:r>
      <w:r w:rsidR="008F664D">
        <w:rPr>
          <w:bCs/>
          <w:sz w:val="18"/>
          <w:szCs w:val="18"/>
        </w:rPr>
        <w:t xml:space="preserve">products and </w:t>
      </w:r>
      <w:r w:rsidR="00251753" w:rsidRPr="00914EFC">
        <w:rPr>
          <w:bCs/>
          <w:sz w:val="18"/>
          <w:szCs w:val="18"/>
        </w:rPr>
        <w:t xml:space="preserve">a work environment that protects the </w:t>
      </w:r>
      <w:r w:rsidR="008F664D" w:rsidRPr="00914EFC">
        <w:rPr>
          <w:bCs/>
          <w:sz w:val="18"/>
          <w:szCs w:val="18"/>
        </w:rPr>
        <w:t xml:space="preserve">environment </w:t>
      </w:r>
      <w:r w:rsidR="008F664D">
        <w:rPr>
          <w:bCs/>
          <w:sz w:val="18"/>
          <w:szCs w:val="18"/>
        </w:rPr>
        <w:t xml:space="preserve">and the </w:t>
      </w:r>
      <w:r w:rsidR="00251753" w:rsidRPr="00914EFC">
        <w:rPr>
          <w:bCs/>
          <w:sz w:val="18"/>
          <w:szCs w:val="18"/>
        </w:rPr>
        <w:t xml:space="preserve">health and safety of our employees, </w:t>
      </w:r>
      <w:r w:rsidR="008F664D">
        <w:rPr>
          <w:bCs/>
          <w:sz w:val="18"/>
          <w:szCs w:val="18"/>
        </w:rPr>
        <w:t xml:space="preserve">contractors, customers, </w:t>
      </w:r>
      <w:r w:rsidR="00251753" w:rsidRPr="00914EFC">
        <w:rPr>
          <w:bCs/>
          <w:sz w:val="18"/>
          <w:szCs w:val="18"/>
        </w:rPr>
        <w:t xml:space="preserve">stakeholders, </w:t>
      </w:r>
      <w:r w:rsidR="00C21342">
        <w:rPr>
          <w:bCs/>
          <w:sz w:val="18"/>
          <w:szCs w:val="18"/>
        </w:rPr>
        <w:t xml:space="preserve">and </w:t>
      </w:r>
      <w:r w:rsidR="008F664D">
        <w:rPr>
          <w:bCs/>
          <w:sz w:val="18"/>
          <w:szCs w:val="18"/>
        </w:rPr>
        <w:t>contractors</w:t>
      </w:r>
      <w:r>
        <w:rPr>
          <w:bCs/>
          <w:sz w:val="18"/>
          <w:szCs w:val="18"/>
        </w:rPr>
        <w:t>. This goal</w:t>
      </w:r>
      <w:r w:rsidR="008F664D">
        <w:rPr>
          <w:bCs/>
          <w:sz w:val="18"/>
          <w:szCs w:val="18"/>
        </w:rPr>
        <w:t xml:space="preserve"> is of the utmost importance to REV Group, Inc., and all of its subsidiaries and affiliates (“REV” or “the Company”)</w:t>
      </w:r>
      <w:r w:rsidR="00251753" w:rsidRPr="00914EFC">
        <w:rPr>
          <w:bCs/>
          <w:sz w:val="18"/>
          <w:szCs w:val="18"/>
        </w:rPr>
        <w:t xml:space="preserve">. </w:t>
      </w:r>
    </w:p>
    <w:p w14:paraId="2D9CD185" w14:textId="17D5B985" w:rsidR="009A3D07" w:rsidRDefault="009A3D07" w:rsidP="004E3964">
      <w:pPr>
        <w:pStyle w:val="Heading1"/>
        <w:numPr>
          <w:ilvl w:val="0"/>
          <w:numId w:val="2"/>
        </w:numPr>
        <w:tabs>
          <w:tab w:val="left" w:pos="1416"/>
        </w:tabs>
        <w:kinsoku w:val="0"/>
        <w:overflowPunct w:val="0"/>
        <w:ind w:left="0" w:firstLine="0"/>
        <w:rPr>
          <w:color w:val="323299"/>
        </w:rPr>
      </w:pPr>
      <w:r w:rsidRPr="005C7CFA">
        <w:rPr>
          <w:color w:val="323299"/>
        </w:rPr>
        <w:t>Scope</w:t>
      </w:r>
    </w:p>
    <w:p w14:paraId="3C7D8AC3" w14:textId="25A68C82" w:rsidR="00DB0209" w:rsidRPr="00047AB7" w:rsidRDefault="005B6F1C" w:rsidP="004E3964">
      <w:pPr>
        <w:pStyle w:val="ListParagraph"/>
        <w:spacing w:before="200" w:after="280" w:line="240" w:lineRule="atLeast"/>
        <w:ind w:left="0" w:firstLine="0"/>
      </w:pPr>
      <w:r w:rsidRPr="00914EFC">
        <w:rPr>
          <w:sz w:val="18"/>
          <w:szCs w:val="18"/>
        </w:rPr>
        <w:t>This policy applies to all employees, contractors,</w:t>
      </w:r>
      <w:r>
        <w:rPr>
          <w:sz w:val="18"/>
          <w:szCs w:val="18"/>
        </w:rPr>
        <w:t xml:space="preserve"> </w:t>
      </w:r>
      <w:r w:rsidRPr="00914EFC">
        <w:rPr>
          <w:sz w:val="18"/>
          <w:szCs w:val="18"/>
        </w:rPr>
        <w:t xml:space="preserve">and stakeholders of REV. All REV employees </w:t>
      </w:r>
      <w:r w:rsidR="008F664D">
        <w:rPr>
          <w:sz w:val="18"/>
          <w:szCs w:val="18"/>
        </w:rPr>
        <w:t xml:space="preserve">and contractors </w:t>
      </w:r>
      <w:r w:rsidRPr="00914EFC">
        <w:rPr>
          <w:sz w:val="18"/>
          <w:szCs w:val="18"/>
        </w:rPr>
        <w:t>share in the responsibility to apply this policy fairly and consistently in accordance with applicable international, federal, country, state, and local laws.</w:t>
      </w:r>
    </w:p>
    <w:p w14:paraId="268704B4" w14:textId="3C1711CA" w:rsidR="001755E2" w:rsidRDefault="005C0D69" w:rsidP="004E3964">
      <w:pPr>
        <w:pStyle w:val="Heading1"/>
        <w:numPr>
          <w:ilvl w:val="0"/>
          <w:numId w:val="2"/>
        </w:numPr>
        <w:tabs>
          <w:tab w:val="left" w:pos="1416"/>
        </w:tabs>
        <w:kinsoku w:val="0"/>
        <w:overflowPunct w:val="0"/>
        <w:ind w:left="0" w:firstLine="0"/>
        <w:rPr>
          <w:color w:val="323299"/>
        </w:rPr>
      </w:pPr>
      <w:r>
        <w:rPr>
          <w:color w:val="323299"/>
        </w:rPr>
        <w:t>EHS Policy Philosophy</w:t>
      </w:r>
    </w:p>
    <w:p w14:paraId="084C3453" w14:textId="77777777" w:rsidR="006D5EA8" w:rsidRPr="00914EFC" w:rsidRDefault="006D5EA8" w:rsidP="006D5EA8">
      <w:pPr>
        <w:pStyle w:val="ListParagraph"/>
        <w:spacing w:before="200" w:after="120" w:line="240" w:lineRule="atLeast"/>
        <w:ind w:left="0" w:firstLine="0"/>
        <w:rPr>
          <w:bCs/>
          <w:sz w:val="18"/>
          <w:szCs w:val="18"/>
        </w:rPr>
      </w:pPr>
      <w:r w:rsidRPr="00914EFC">
        <w:rPr>
          <w:bCs/>
          <w:sz w:val="18"/>
          <w:szCs w:val="18"/>
        </w:rPr>
        <w:t>We believe that:</w:t>
      </w:r>
    </w:p>
    <w:p w14:paraId="6E800AD9" w14:textId="6646BC96" w:rsidR="006D5EA8" w:rsidRPr="00914EFC" w:rsidRDefault="006D5EA8" w:rsidP="006D5EA8">
      <w:pPr>
        <w:pStyle w:val="ListParagraph"/>
        <w:widowControl/>
        <w:numPr>
          <w:ilvl w:val="0"/>
          <w:numId w:val="26"/>
        </w:numPr>
        <w:autoSpaceDE/>
        <w:autoSpaceDN/>
        <w:adjustRightInd/>
        <w:spacing w:before="240" w:after="120" w:line="240" w:lineRule="atLeast"/>
        <w:ind w:left="630"/>
        <w:contextualSpacing/>
        <w:rPr>
          <w:bCs/>
          <w:sz w:val="18"/>
          <w:szCs w:val="18"/>
        </w:rPr>
      </w:pPr>
      <w:r w:rsidRPr="00914EFC">
        <w:rPr>
          <w:bCs/>
          <w:sz w:val="18"/>
          <w:szCs w:val="18"/>
        </w:rPr>
        <w:t xml:space="preserve">All </w:t>
      </w:r>
      <w:r w:rsidR="005E6EF5">
        <w:rPr>
          <w:bCs/>
          <w:sz w:val="18"/>
          <w:szCs w:val="18"/>
        </w:rPr>
        <w:t>workplace</w:t>
      </w:r>
      <w:r>
        <w:rPr>
          <w:bCs/>
          <w:sz w:val="18"/>
          <w:szCs w:val="18"/>
        </w:rPr>
        <w:t xml:space="preserve"> injuries</w:t>
      </w:r>
      <w:r w:rsidRPr="00914EFC">
        <w:rPr>
          <w:bCs/>
          <w:sz w:val="18"/>
          <w:szCs w:val="18"/>
        </w:rPr>
        <w:t xml:space="preserve"> are preventable, therefore unacceptable to our way of conducting business.</w:t>
      </w:r>
    </w:p>
    <w:p w14:paraId="412D1799" w14:textId="299D06AF" w:rsidR="006D5EA8" w:rsidRPr="00914EFC" w:rsidRDefault="006D5EA8" w:rsidP="006D5EA8">
      <w:pPr>
        <w:pStyle w:val="ListParagraph"/>
        <w:widowControl/>
        <w:numPr>
          <w:ilvl w:val="0"/>
          <w:numId w:val="26"/>
        </w:numPr>
        <w:autoSpaceDE/>
        <w:autoSpaceDN/>
        <w:adjustRightInd/>
        <w:spacing w:before="240" w:after="120" w:line="240" w:lineRule="atLeast"/>
        <w:ind w:left="630"/>
        <w:contextualSpacing/>
        <w:rPr>
          <w:bCs/>
          <w:sz w:val="18"/>
          <w:szCs w:val="18"/>
        </w:rPr>
      </w:pPr>
      <w:r w:rsidRPr="00914EFC">
        <w:rPr>
          <w:bCs/>
          <w:sz w:val="18"/>
          <w:szCs w:val="18"/>
        </w:rPr>
        <w:t>REV ha</w:t>
      </w:r>
      <w:r>
        <w:rPr>
          <w:bCs/>
          <w:sz w:val="18"/>
          <w:szCs w:val="18"/>
        </w:rPr>
        <w:t>s</w:t>
      </w:r>
      <w:r w:rsidRPr="00914EFC">
        <w:rPr>
          <w:bCs/>
          <w:sz w:val="18"/>
          <w:szCs w:val="18"/>
        </w:rPr>
        <w:t xml:space="preserve"> the obligation to design our facilities, </w:t>
      </w:r>
      <w:r w:rsidR="005E6EF5" w:rsidRPr="00914EFC">
        <w:rPr>
          <w:bCs/>
          <w:sz w:val="18"/>
          <w:szCs w:val="18"/>
        </w:rPr>
        <w:t>processes,</w:t>
      </w:r>
      <w:r w:rsidRPr="00914EFC">
        <w:rPr>
          <w:bCs/>
          <w:sz w:val="18"/>
          <w:szCs w:val="18"/>
        </w:rPr>
        <w:t xml:space="preserve"> and products to protect our employees, </w:t>
      </w:r>
      <w:r>
        <w:rPr>
          <w:bCs/>
          <w:sz w:val="18"/>
          <w:szCs w:val="18"/>
        </w:rPr>
        <w:t>contractors, visitors to Company property, and other stakeholders.</w:t>
      </w:r>
    </w:p>
    <w:p w14:paraId="79EF30A7" w14:textId="3F1E9E19" w:rsidR="006D5EA8" w:rsidRPr="00914EFC" w:rsidRDefault="006D5EA8" w:rsidP="006D5EA8">
      <w:pPr>
        <w:pStyle w:val="ListParagraph"/>
        <w:widowControl/>
        <w:numPr>
          <w:ilvl w:val="0"/>
          <w:numId w:val="26"/>
        </w:numPr>
        <w:autoSpaceDE/>
        <w:autoSpaceDN/>
        <w:adjustRightInd/>
        <w:spacing w:before="240" w:after="120" w:line="240" w:lineRule="atLeast"/>
        <w:ind w:left="630"/>
        <w:contextualSpacing/>
        <w:rPr>
          <w:bCs/>
          <w:sz w:val="18"/>
          <w:szCs w:val="18"/>
        </w:rPr>
      </w:pPr>
      <w:r w:rsidRPr="00914EFC">
        <w:rPr>
          <w:bCs/>
          <w:sz w:val="18"/>
          <w:szCs w:val="18"/>
        </w:rPr>
        <w:t xml:space="preserve">Every employee </w:t>
      </w:r>
      <w:r>
        <w:rPr>
          <w:bCs/>
          <w:sz w:val="18"/>
          <w:szCs w:val="18"/>
        </w:rPr>
        <w:t xml:space="preserve">and contractor </w:t>
      </w:r>
      <w:r w:rsidR="00C21342">
        <w:rPr>
          <w:bCs/>
          <w:sz w:val="18"/>
          <w:szCs w:val="18"/>
        </w:rPr>
        <w:t>is</w:t>
      </w:r>
      <w:r w:rsidRPr="00914EFC">
        <w:rPr>
          <w:bCs/>
          <w:sz w:val="18"/>
          <w:szCs w:val="18"/>
        </w:rPr>
        <w:t xml:space="preserve"> responsible and accountable for </w:t>
      </w:r>
      <w:r>
        <w:rPr>
          <w:bCs/>
          <w:sz w:val="18"/>
          <w:szCs w:val="18"/>
        </w:rPr>
        <w:t>workplace health and safety</w:t>
      </w:r>
      <w:r w:rsidRPr="00914EFC">
        <w:rPr>
          <w:bCs/>
          <w:sz w:val="18"/>
          <w:szCs w:val="18"/>
        </w:rPr>
        <w:t>.</w:t>
      </w:r>
    </w:p>
    <w:p w14:paraId="682A8255" w14:textId="4CF276EC" w:rsidR="006D5EA8" w:rsidRPr="00914EFC" w:rsidRDefault="006D5EA8" w:rsidP="006D5EA8">
      <w:pPr>
        <w:pStyle w:val="ListParagraph"/>
        <w:widowControl/>
        <w:numPr>
          <w:ilvl w:val="0"/>
          <w:numId w:val="26"/>
        </w:numPr>
        <w:autoSpaceDE/>
        <w:autoSpaceDN/>
        <w:adjustRightInd/>
        <w:spacing w:before="240" w:after="120" w:line="240" w:lineRule="atLeast"/>
        <w:ind w:left="630"/>
        <w:contextualSpacing/>
        <w:rPr>
          <w:bCs/>
          <w:sz w:val="18"/>
          <w:szCs w:val="18"/>
        </w:rPr>
      </w:pPr>
      <w:r w:rsidRPr="00914EFC">
        <w:rPr>
          <w:bCs/>
          <w:sz w:val="18"/>
          <w:szCs w:val="18"/>
        </w:rPr>
        <w:t xml:space="preserve">Employees, </w:t>
      </w:r>
      <w:r w:rsidR="005E6EF5" w:rsidRPr="00914EFC">
        <w:rPr>
          <w:bCs/>
          <w:sz w:val="18"/>
          <w:szCs w:val="18"/>
        </w:rPr>
        <w:t>contractors,</w:t>
      </w:r>
      <w:r w:rsidRPr="00914EFC">
        <w:rPr>
          <w:bCs/>
          <w:sz w:val="18"/>
          <w:szCs w:val="18"/>
        </w:rPr>
        <w:t xml:space="preserve"> and visitors are expected to report, eliminate and/or safeguard against all acts and conditions detrimental to the health and safety of </w:t>
      </w:r>
      <w:r>
        <w:rPr>
          <w:bCs/>
          <w:sz w:val="18"/>
          <w:szCs w:val="18"/>
        </w:rPr>
        <w:t>any individual</w:t>
      </w:r>
      <w:r w:rsidRPr="00914EFC">
        <w:rPr>
          <w:bCs/>
          <w:sz w:val="18"/>
          <w:szCs w:val="18"/>
        </w:rPr>
        <w:t xml:space="preserve"> and/or the environment.</w:t>
      </w:r>
    </w:p>
    <w:p w14:paraId="5C123F7C" w14:textId="431A4E5D" w:rsidR="005C0D69" w:rsidRDefault="005C0D69" w:rsidP="005C0D69"/>
    <w:p w14:paraId="633D2937" w14:textId="77777777" w:rsidR="005C0D69" w:rsidRPr="00693ED9" w:rsidRDefault="005C0D69" w:rsidP="00693ED9"/>
    <w:p w14:paraId="61ECC46E" w14:textId="69817589" w:rsidR="00072B91" w:rsidRPr="007D3816" w:rsidRDefault="00E52838" w:rsidP="004E3964">
      <w:pPr>
        <w:pStyle w:val="Heading1"/>
        <w:numPr>
          <w:ilvl w:val="0"/>
          <w:numId w:val="2"/>
        </w:numPr>
        <w:tabs>
          <w:tab w:val="left" w:pos="1416"/>
        </w:tabs>
        <w:kinsoku w:val="0"/>
        <w:overflowPunct w:val="0"/>
        <w:ind w:left="0" w:firstLine="0"/>
        <w:rPr>
          <w:color w:val="323299"/>
        </w:rPr>
      </w:pPr>
      <w:r>
        <w:rPr>
          <w:color w:val="323299"/>
        </w:rPr>
        <w:t xml:space="preserve">Environmental </w:t>
      </w:r>
      <w:r w:rsidR="00047AB7">
        <w:rPr>
          <w:color w:val="323299"/>
        </w:rPr>
        <w:t>P</w:t>
      </w:r>
      <w:r w:rsidR="00D27CC3">
        <w:rPr>
          <w:color w:val="323299"/>
        </w:rPr>
        <w:t>olicy</w:t>
      </w:r>
    </w:p>
    <w:p w14:paraId="6020A319" w14:textId="48A0EAF8" w:rsidR="00914EFC" w:rsidRPr="00914EFC" w:rsidRDefault="00914EFC" w:rsidP="004E3964">
      <w:pPr>
        <w:spacing w:before="200" w:after="120" w:line="240" w:lineRule="atLeast"/>
        <w:jc w:val="both"/>
        <w:rPr>
          <w:bCs/>
          <w:sz w:val="18"/>
          <w:szCs w:val="18"/>
        </w:rPr>
      </w:pPr>
      <w:r w:rsidRPr="00914EFC">
        <w:rPr>
          <w:bCs/>
          <w:sz w:val="18"/>
          <w:szCs w:val="18"/>
        </w:rPr>
        <w:t xml:space="preserve">REV believes in and is committed to compliance with all applicable environmental </w:t>
      </w:r>
      <w:r w:rsidR="004E3964">
        <w:rPr>
          <w:bCs/>
          <w:sz w:val="18"/>
          <w:szCs w:val="18"/>
        </w:rPr>
        <w:t xml:space="preserve">laws and </w:t>
      </w:r>
      <w:r w:rsidRPr="00914EFC">
        <w:rPr>
          <w:bCs/>
          <w:sz w:val="18"/>
          <w:szCs w:val="18"/>
        </w:rPr>
        <w:t xml:space="preserve">regulations and strives to </w:t>
      </w:r>
      <w:r w:rsidR="004E3964">
        <w:rPr>
          <w:bCs/>
          <w:sz w:val="18"/>
          <w:szCs w:val="18"/>
        </w:rPr>
        <w:t xml:space="preserve">continually </w:t>
      </w:r>
      <w:r w:rsidRPr="00914EFC">
        <w:rPr>
          <w:bCs/>
          <w:sz w:val="18"/>
          <w:szCs w:val="18"/>
        </w:rPr>
        <w:t xml:space="preserve">reduce and improve our impact </w:t>
      </w:r>
      <w:r w:rsidR="004E3964">
        <w:rPr>
          <w:bCs/>
          <w:sz w:val="18"/>
          <w:szCs w:val="18"/>
        </w:rPr>
        <w:t>on</w:t>
      </w:r>
      <w:r w:rsidRPr="00914EFC">
        <w:rPr>
          <w:bCs/>
          <w:sz w:val="18"/>
          <w:szCs w:val="18"/>
        </w:rPr>
        <w:t xml:space="preserve"> the environment. As such, REV Group, Inc. will:</w:t>
      </w:r>
    </w:p>
    <w:p w14:paraId="5F1DECC4" w14:textId="30791FC9" w:rsidR="00914EFC" w:rsidRPr="00914EFC" w:rsidRDefault="00914EFC" w:rsidP="004E3964">
      <w:pPr>
        <w:pStyle w:val="ListParagraph"/>
        <w:widowControl/>
        <w:numPr>
          <w:ilvl w:val="0"/>
          <w:numId w:val="27"/>
        </w:numPr>
        <w:autoSpaceDE/>
        <w:autoSpaceDN/>
        <w:adjustRightInd/>
        <w:spacing w:line="240" w:lineRule="atLeast"/>
        <w:ind w:left="630" w:right="1640"/>
        <w:contextualSpacing/>
        <w:rPr>
          <w:bCs/>
          <w:sz w:val="18"/>
          <w:szCs w:val="18"/>
        </w:rPr>
      </w:pPr>
      <w:r w:rsidRPr="00914EFC">
        <w:rPr>
          <w:bCs/>
          <w:sz w:val="18"/>
          <w:szCs w:val="18"/>
        </w:rPr>
        <w:t xml:space="preserve">Establish, maintain, and enforce environmental standards and practices that comply with applicable local, state and/or federal </w:t>
      </w:r>
      <w:r w:rsidR="004E3964">
        <w:rPr>
          <w:bCs/>
          <w:sz w:val="18"/>
          <w:szCs w:val="18"/>
        </w:rPr>
        <w:t>law</w:t>
      </w:r>
      <w:r w:rsidR="00DE63C2">
        <w:rPr>
          <w:bCs/>
          <w:sz w:val="18"/>
          <w:szCs w:val="18"/>
        </w:rPr>
        <w:t>s</w:t>
      </w:r>
      <w:r w:rsidR="004E3964">
        <w:rPr>
          <w:bCs/>
          <w:sz w:val="18"/>
          <w:szCs w:val="18"/>
        </w:rPr>
        <w:t xml:space="preserve"> and </w:t>
      </w:r>
      <w:r w:rsidRPr="00914EFC">
        <w:rPr>
          <w:bCs/>
          <w:sz w:val="18"/>
          <w:szCs w:val="18"/>
        </w:rPr>
        <w:t>regulations.</w:t>
      </w:r>
    </w:p>
    <w:p w14:paraId="1A11109E" w14:textId="542659A1" w:rsidR="00914EFC" w:rsidRPr="00914EFC" w:rsidRDefault="00914EFC" w:rsidP="004E3964">
      <w:pPr>
        <w:pStyle w:val="ListParagraph"/>
        <w:widowControl/>
        <w:numPr>
          <w:ilvl w:val="0"/>
          <w:numId w:val="27"/>
        </w:numPr>
        <w:autoSpaceDE/>
        <w:autoSpaceDN/>
        <w:adjustRightInd/>
        <w:spacing w:line="240" w:lineRule="atLeast"/>
        <w:ind w:left="630" w:right="1640"/>
        <w:contextualSpacing/>
        <w:rPr>
          <w:bCs/>
          <w:sz w:val="18"/>
          <w:szCs w:val="18"/>
        </w:rPr>
      </w:pPr>
      <w:r w:rsidRPr="00914EFC">
        <w:rPr>
          <w:bCs/>
          <w:sz w:val="18"/>
          <w:szCs w:val="18"/>
        </w:rPr>
        <w:t xml:space="preserve">Proactively identify and assess </w:t>
      </w:r>
      <w:r w:rsidR="00DE63C2">
        <w:rPr>
          <w:bCs/>
          <w:sz w:val="18"/>
          <w:szCs w:val="18"/>
        </w:rPr>
        <w:t>opportunities</w:t>
      </w:r>
      <w:r w:rsidR="00DE63C2" w:rsidRPr="00914EFC">
        <w:rPr>
          <w:bCs/>
          <w:sz w:val="18"/>
          <w:szCs w:val="18"/>
        </w:rPr>
        <w:t xml:space="preserve"> </w:t>
      </w:r>
      <w:r w:rsidRPr="00914EFC">
        <w:rPr>
          <w:bCs/>
          <w:sz w:val="18"/>
          <w:szCs w:val="18"/>
        </w:rPr>
        <w:t>to minimize waste and/or increase reuse and recycling.</w:t>
      </w:r>
    </w:p>
    <w:p w14:paraId="1BB74914" w14:textId="5E4962A8" w:rsidR="00914EFC" w:rsidRPr="00914EFC" w:rsidRDefault="00914EFC" w:rsidP="004E3964">
      <w:pPr>
        <w:pStyle w:val="ListParagraph"/>
        <w:widowControl/>
        <w:numPr>
          <w:ilvl w:val="0"/>
          <w:numId w:val="27"/>
        </w:numPr>
        <w:autoSpaceDE/>
        <w:autoSpaceDN/>
        <w:adjustRightInd/>
        <w:spacing w:line="240" w:lineRule="atLeast"/>
        <w:ind w:left="630" w:right="1640"/>
        <w:contextualSpacing/>
        <w:rPr>
          <w:bCs/>
          <w:sz w:val="18"/>
          <w:szCs w:val="18"/>
        </w:rPr>
      </w:pPr>
      <w:r w:rsidRPr="00914EFC">
        <w:rPr>
          <w:bCs/>
          <w:sz w:val="18"/>
          <w:szCs w:val="18"/>
        </w:rPr>
        <w:t xml:space="preserve">Evaluate alternatives to hazardous materials used within our operations to decrease the impact </w:t>
      </w:r>
      <w:r w:rsidR="00DE63C2">
        <w:rPr>
          <w:bCs/>
          <w:sz w:val="18"/>
          <w:szCs w:val="18"/>
        </w:rPr>
        <w:t>on</w:t>
      </w:r>
      <w:r w:rsidRPr="00914EFC">
        <w:rPr>
          <w:bCs/>
          <w:sz w:val="18"/>
          <w:szCs w:val="18"/>
        </w:rPr>
        <w:t xml:space="preserve"> our employees, communities, and the environment.</w:t>
      </w:r>
    </w:p>
    <w:p w14:paraId="617B4946" w14:textId="33A94360" w:rsidR="00914EFC" w:rsidRPr="00914EFC" w:rsidRDefault="00914EFC" w:rsidP="004E3964">
      <w:pPr>
        <w:pStyle w:val="ListParagraph"/>
        <w:widowControl/>
        <w:numPr>
          <w:ilvl w:val="0"/>
          <w:numId w:val="27"/>
        </w:numPr>
        <w:autoSpaceDE/>
        <w:autoSpaceDN/>
        <w:adjustRightInd/>
        <w:spacing w:line="240" w:lineRule="atLeast"/>
        <w:ind w:left="630" w:right="1640"/>
        <w:contextualSpacing/>
        <w:rPr>
          <w:bCs/>
          <w:sz w:val="18"/>
          <w:szCs w:val="18"/>
        </w:rPr>
      </w:pPr>
      <w:r w:rsidRPr="00914EFC">
        <w:rPr>
          <w:bCs/>
          <w:sz w:val="18"/>
          <w:szCs w:val="18"/>
        </w:rPr>
        <w:t xml:space="preserve">Reinforce continuous improvement in our environmental performance by integrating environmental management and evaluation into the REV Drive Business System, identifying </w:t>
      </w:r>
      <w:r w:rsidR="00DE63C2">
        <w:rPr>
          <w:bCs/>
          <w:sz w:val="18"/>
          <w:szCs w:val="18"/>
        </w:rPr>
        <w:t>k</w:t>
      </w:r>
      <w:r w:rsidRPr="00914EFC">
        <w:rPr>
          <w:bCs/>
          <w:sz w:val="18"/>
          <w:szCs w:val="18"/>
        </w:rPr>
        <w:t xml:space="preserve">ey </w:t>
      </w:r>
      <w:r w:rsidR="00DE63C2">
        <w:rPr>
          <w:bCs/>
          <w:sz w:val="18"/>
          <w:szCs w:val="18"/>
        </w:rPr>
        <w:t>p</w:t>
      </w:r>
      <w:r w:rsidRPr="00914EFC">
        <w:rPr>
          <w:bCs/>
          <w:sz w:val="18"/>
          <w:szCs w:val="18"/>
        </w:rPr>
        <w:t xml:space="preserve">erformance </w:t>
      </w:r>
      <w:r w:rsidR="00DE63C2">
        <w:rPr>
          <w:bCs/>
          <w:sz w:val="18"/>
          <w:szCs w:val="18"/>
        </w:rPr>
        <w:t>i</w:t>
      </w:r>
      <w:r w:rsidRPr="00914EFC">
        <w:rPr>
          <w:bCs/>
          <w:sz w:val="18"/>
          <w:szCs w:val="18"/>
        </w:rPr>
        <w:t xml:space="preserve">ndicators, and sharing of </w:t>
      </w:r>
      <w:r w:rsidR="00DE63C2">
        <w:rPr>
          <w:bCs/>
          <w:sz w:val="18"/>
          <w:szCs w:val="18"/>
        </w:rPr>
        <w:t>b</w:t>
      </w:r>
      <w:r w:rsidRPr="00914EFC">
        <w:rPr>
          <w:bCs/>
          <w:sz w:val="18"/>
          <w:szCs w:val="18"/>
        </w:rPr>
        <w:t xml:space="preserve">est </w:t>
      </w:r>
      <w:r w:rsidR="00DE63C2">
        <w:rPr>
          <w:bCs/>
          <w:sz w:val="18"/>
          <w:szCs w:val="18"/>
        </w:rPr>
        <w:t>p</w:t>
      </w:r>
      <w:r w:rsidRPr="00914EFC">
        <w:rPr>
          <w:bCs/>
          <w:sz w:val="18"/>
          <w:szCs w:val="18"/>
        </w:rPr>
        <w:t>ractices across the enterprise.</w:t>
      </w:r>
    </w:p>
    <w:p w14:paraId="51B6E76F" w14:textId="69B67ABC" w:rsidR="00914EFC" w:rsidRPr="00914EFC" w:rsidRDefault="00914EFC" w:rsidP="004E3964">
      <w:pPr>
        <w:pStyle w:val="ListParagraph"/>
        <w:widowControl/>
        <w:numPr>
          <w:ilvl w:val="0"/>
          <w:numId w:val="27"/>
        </w:numPr>
        <w:autoSpaceDE/>
        <w:autoSpaceDN/>
        <w:adjustRightInd/>
        <w:spacing w:line="240" w:lineRule="atLeast"/>
        <w:ind w:left="630" w:right="1640"/>
        <w:contextualSpacing/>
        <w:rPr>
          <w:bCs/>
          <w:sz w:val="18"/>
          <w:szCs w:val="18"/>
        </w:rPr>
      </w:pPr>
      <w:r w:rsidRPr="00914EFC">
        <w:rPr>
          <w:bCs/>
          <w:sz w:val="18"/>
          <w:szCs w:val="18"/>
        </w:rPr>
        <w:t xml:space="preserve">Assess environmental impacts as part of our product lifecycle planning </w:t>
      </w:r>
      <w:r w:rsidR="00DE63C2">
        <w:rPr>
          <w:bCs/>
          <w:sz w:val="18"/>
          <w:szCs w:val="18"/>
        </w:rPr>
        <w:t xml:space="preserve">process, including </w:t>
      </w:r>
      <w:r w:rsidRPr="00914EFC">
        <w:rPr>
          <w:bCs/>
          <w:sz w:val="18"/>
          <w:szCs w:val="18"/>
        </w:rPr>
        <w:t xml:space="preserve">when designing and developing new products and services.  </w:t>
      </w:r>
    </w:p>
    <w:p w14:paraId="70D96177" w14:textId="77777777" w:rsidR="00914EFC" w:rsidRPr="00914EFC" w:rsidRDefault="00914EFC" w:rsidP="004E3964">
      <w:pPr>
        <w:pStyle w:val="ListParagraph"/>
        <w:widowControl/>
        <w:numPr>
          <w:ilvl w:val="0"/>
          <w:numId w:val="27"/>
        </w:numPr>
        <w:autoSpaceDE/>
        <w:autoSpaceDN/>
        <w:adjustRightInd/>
        <w:spacing w:line="240" w:lineRule="atLeast"/>
        <w:ind w:left="630" w:right="1640"/>
        <w:contextualSpacing/>
        <w:rPr>
          <w:bCs/>
          <w:sz w:val="18"/>
          <w:szCs w:val="18"/>
        </w:rPr>
      </w:pPr>
      <w:r w:rsidRPr="00914EFC">
        <w:rPr>
          <w:bCs/>
          <w:sz w:val="18"/>
          <w:szCs w:val="18"/>
        </w:rPr>
        <w:lastRenderedPageBreak/>
        <w:t xml:space="preserve">Integrate environmental performance into the selection and on-going evaluation of suppliers and service providers. </w:t>
      </w:r>
    </w:p>
    <w:p w14:paraId="5E7D11C2" w14:textId="65621A62" w:rsidR="00914EFC" w:rsidRDefault="00914EFC" w:rsidP="004E3964">
      <w:pPr>
        <w:pStyle w:val="ListParagraph"/>
        <w:widowControl/>
        <w:numPr>
          <w:ilvl w:val="0"/>
          <w:numId w:val="27"/>
        </w:numPr>
        <w:autoSpaceDE/>
        <w:autoSpaceDN/>
        <w:adjustRightInd/>
        <w:spacing w:line="240" w:lineRule="atLeast"/>
        <w:ind w:left="630" w:right="1640"/>
        <w:contextualSpacing/>
        <w:rPr>
          <w:bCs/>
          <w:sz w:val="18"/>
          <w:szCs w:val="18"/>
        </w:rPr>
      </w:pPr>
      <w:r w:rsidRPr="00914EFC">
        <w:rPr>
          <w:bCs/>
          <w:sz w:val="18"/>
          <w:szCs w:val="18"/>
        </w:rPr>
        <w:t xml:space="preserve">Conduct appropriate environmental due diligence as part of any </w:t>
      </w:r>
      <w:r w:rsidR="0010278B">
        <w:rPr>
          <w:bCs/>
          <w:sz w:val="18"/>
          <w:szCs w:val="18"/>
        </w:rPr>
        <w:t xml:space="preserve">corporate </w:t>
      </w:r>
      <w:r w:rsidRPr="00914EFC">
        <w:rPr>
          <w:bCs/>
          <w:sz w:val="18"/>
          <w:szCs w:val="18"/>
        </w:rPr>
        <w:t>merger</w:t>
      </w:r>
      <w:r w:rsidR="0010278B">
        <w:rPr>
          <w:bCs/>
          <w:sz w:val="18"/>
          <w:szCs w:val="18"/>
        </w:rPr>
        <w:t>, acquisition</w:t>
      </w:r>
      <w:r w:rsidRPr="00914EFC">
        <w:rPr>
          <w:bCs/>
          <w:sz w:val="18"/>
          <w:szCs w:val="18"/>
        </w:rPr>
        <w:t>, property acquisition and/or property lease agreements.</w:t>
      </w:r>
    </w:p>
    <w:p w14:paraId="0AEDE237" w14:textId="77777777" w:rsidR="00DE63C2" w:rsidRPr="00914EFC" w:rsidRDefault="00DE63C2" w:rsidP="00DE63C2">
      <w:pPr>
        <w:pStyle w:val="ListParagraph"/>
        <w:widowControl/>
        <w:autoSpaceDE/>
        <w:autoSpaceDN/>
        <w:adjustRightInd/>
        <w:spacing w:line="240" w:lineRule="atLeast"/>
        <w:ind w:left="630" w:right="1640" w:firstLine="0"/>
        <w:contextualSpacing/>
        <w:rPr>
          <w:bCs/>
          <w:sz w:val="18"/>
          <w:szCs w:val="18"/>
        </w:rPr>
      </w:pPr>
    </w:p>
    <w:p w14:paraId="73FD57EA" w14:textId="1DD516A0" w:rsidR="00237C22" w:rsidRPr="007D3816" w:rsidRDefault="00E52838" w:rsidP="004E3964">
      <w:pPr>
        <w:pStyle w:val="Heading1"/>
        <w:numPr>
          <w:ilvl w:val="0"/>
          <w:numId w:val="2"/>
        </w:numPr>
        <w:tabs>
          <w:tab w:val="left" w:pos="1416"/>
        </w:tabs>
        <w:kinsoku w:val="0"/>
        <w:overflowPunct w:val="0"/>
        <w:ind w:left="0" w:firstLine="0"/>
        <w:rPr>
          <w:color w:val="323299"/>
        </w:rPr>
      </w:pPr>
      <w:r>
        <w:rPr>
          <w:color w:val="323299"/>
        </w:rPr>
        <w:t xml:space="preserve">Workplace Health and Safety </w:t>
      </w:r>
      <w:r w:rsidR="00237C22">
        <w:rPr>
          <w:color w:val="323299"/>
        </w:rPr>
        <w:t>Policy</w:t>
      </w:r>
    </w:p>
    <w:p w14:paraId="5922A577" w14:textId="525C381E" w:rsidR="00237C22" w:rsidRPr="00432EAF" w:rsidRDefault="00237C22" w:rsidP="004E3964">
      <w:pPr>
        <w:spacing w:before="200" w:after="120" w:line="240" w:lineRule="atLeast"/>
        <w:jc w:val="both"/>
        <w:rPr>
          <w:bCs/>
          <w:sz w:val="18"/>
          <w:szCs w:val="18"/>
        </w:rPr>
      </w:pPr>
      <w:r w:rsidRPr="00432EAF">
        <w:rPr>
          <w:bCs/>
          <w:sz w:val="18"/>
          <w:szCs w:val="18"/>
        </w:rPr>
        <w:t xml:space="preserve">REV is committed to providing and maintaining a safe working environment where employees, contractors, suppliers, and visitors are </w:t>
      </w:r>
      <w:r w:rsidR="00C34D4D">
        <w:rPr>
          <w:bCs/>
          <w:sz w:val="18"/>
          <w:szCs w:val="18"/>
        </w:rPr>
        <w:t xml:space="preserve">safe from unreasonable risks and </w:t>
      </w:r>
      <w:r w:rsidRPr="00432EAF">
        <w:rPr>
          <w:bCs/>
          <w:sz w:val="18"/>
          <w:szCs w:val="18"/>
        </w:rPr>
        <w:t>accountable for protecting themselves and others.  As such, REV will:</w:t>
      </w:r>
    </w:p>
    <w:p w14:paraId="2132B101" w14:textId="5156528C" w:rsidR="00237C22" w:rsidRPr="00432EAF" w:rsidRDefault="00237C22" w:rsidP="004E3964">
      <w:pPr>
        <w:pStyle w:val="ListParagraph"/>
        <w:widowControl/>
        <w:numPr>
          <w:ilvl w:val="0"/>
          <w:numId w:val="27"/>
        </w:numPr>
        <w:autoSpaceDE/>
        <w:autoSpaceDN/>
        <w:adjustRightInd/>
        <w:spacing w:line="240" w:lineRule="atLeast"/>
        <w:ind w:left="630"/>
        <w:contextualSpacing/>
        <w:rPr>
          <w:bCs/>
          <w:sz w:val="18"/>
          <w:szCs w:val="18"/>
        </w:rPr>
      </w:pPr>
      <w:r w:rsidRPr="00432EAF">
        <w:rPr>
          <w:bCs/>
          <w:sz w:val="18"/>
          <w:szCs w:val="18"/>
        </w:rPr>
        <w:t xml:space="preserve">Establish, maintain, and enforce health and safety standards to comply with applicable local, state, </w:t>
      </w:r>
      <w:r w:rsidR="00827A06">
        <w:rPr>
          <w:bCs/>
          <w:sz w:val="18"/>
          <w:szCs w:val="18"/>
        </w:rPr>
        <w:t xml:space="preserve">and </w:t>
      </w:r>
      <w:r w:rsidRPr="00432EAF">
        <w:rPr>
          <w:bCs/>
          <w:sz w:val="18"/>
          <w:szCs w:val="18"/>
        </w:rPr>
        <w:t xml:space="preserve">federal </w:t>
      </w:r>
      <w:r w:rsidR="00827A06">
        <w:rPr>
          <w:bCs/>
          <w:sz w:val="18"/>
          <w:szCs w:val="18"/>
        </w:rPr>
        <w:t xml:space="preserve">laws and </w:t>
      </w:r>
      <w:r w:rsidRPr="00432EAF">
        <w:rPr>
          <w:bCs/>
          <w:sz w:val="18"/>
          <w:szCs w:val="18"/>
        </w:rPr>
        <w:t>regulations.</w:t>
      </w:r>
    </w:p>
    <w:p w14:paraId="30BD46FC" w14:textId="3CCDA421" w:rsidR="00237C22" w:rsidRPr="00432EAF" w:rsidRDefault="00237C22" w:rsidP="004E3964">
      <w:pPr>
        <w:pStyle w:val="ListParagraph"/>
        <w:widowControl/>
        <w:numPr>
          <w:ilvl w:val="0"/>
          <w:numId w:val="27"/>
        </w:numPr>
        <w:autoSpaceDE/>
        <w:autoSpaceDN/>
        <w:adjustRightInd/>
        <w:spacing w:line="240" w:lineRule="atLeast"/>
        <w:ind w:left="630"/>
        <w:contextualSpacing/>
        <w:rPr>
          <w:bCs/>
          <w:sz w:val="18"/>
          <w:szCs w:val="18"/>
        </w:rPr>
      </w:pPr>
      <w:r w:rsidRPr="00432EAF">
        <w:rPr>
          <w:bCs/>
          <w:sz w:val="18"/>
          <w:szCs w:val="18"/>
        </w:rPr>
        <w:t xml:space="preserve">Proactively identify and assess </w:t>
      </w:r>
      <w:r w:rsidR="00827A06">
        <w:rPr>
          <w:bCs/>
          <w:sz w:val="18"/>
          <w:szCs w:val="18"/>
        </w:rPr>
        <w:t>potential</w:t>
      </w:r>
      <w:r w:rsidR="00B04E4B">
        <w:rPr>
          <w:bCs/>
          <w:sz w:val="18"/>
          <w:szCs w:val="18"/>
        </w:rPr>
        <w:t xml:space="preserve"> </w:t>
      </w:r>
      <w:r w:rsidRPr="00432EAF">
        <w:rPr>
          <w:bCs/>
          <w:sz w:val="18"/>
          <w:szCs w:val="18"/>
        </w:rPr>
        <w:t xml:space="preserve">hazards so they can be appropriately managed and </w:t>
      </w:r>
      <w:r w:rsidR="00827A06">
        <w:rPr>
          <w:bCs/>
          <w:sz w:val="18"/>
          <w:szCs w:val="18"/>
        </w:rPr>
        <w:t>so that</w:t>
      </w:r>
      <w:r w:rsidR="00827A06" w:rsidRPr="00432EAF">
        <w:rPr>
          <w:bCs/>
          <w:sz w:val="18"/>
          <w:szCs w:val="18"/>
        </w:rPr>
        <w:t xml:space="preserve"> </w:t>
      </w:r>
      <w:r w:rsidRPr="00432EAF">
        <w:rPr>
          <w:bCs/>
          <w:sz w:val="18"/>
          <w:szCs w:val="18"/>
        </w:rPr>
        <w:t>necessary control measures for the prevention of injuries and illnesses to our employees and other stakeholders</w:t>
      </w:r>
      <w:r w:rsidR="00827A06">
        <w:rPr>
          <w:bCs/>
          <w:sz w:val="18"/>
          <w:szCs w:val="18"/>
        </w:rPr>
        <w:t xml:space="preserve"> can be implemented</w:t>
      </w:r>
      <w:r w:rsidRPr="00432EAF">
        <w:rPr>
          <w:bCs/>
          <w:sz w:val="18"/>
          <w:szCs w:val="18"/>
        </w:rPr>
        <w:t>.</w:t>
      </w:r>
    </w:p>
    <w:p w14:paraId="6859004B" w14:textId="77777777" w:rsidR="00237C22" w:rsidRPr="00432EAF" w:rsidRDefault="00237C22" w:rsidP="004E3964">
      <w:pPr>
        <w:pStyle w:val="ListParagraph"/>
        <w:widowControl/>
        <w:numPr>
          <w:ilvl w:val="0"/>
          <w:numId w:val="27"/>
        </w:numPr>
        <w:autoSpaceDE/>
        <w:autoSpaceDN/>
        <w:adjustRightInd/>
        <w:spacing w:line="240" w:lineRule="atLeast"/>
        <w:ind w:left="630"/>
        <w:contextualSpacing/>
        <w:rPr>
          <w:bCs/>
          <w:sz w:val="18"/>
          <w:szCs w:val="18"/>
        </w:rPr>
      </w:pPr>
      <w:r w:rsidRPr="00432EAF">
        <w:rPr>
          <w:bCs/>
          <w:sz w:val="18"/>
          <w:szCs w:val="18"/>
        </w:rPr>
        <w:t xml:space="preserve">Proactively educate, coach, and communicate policies and expectations for </w:t>
      </w:r>
      <w:r>
        <w:rPr>
          <w:bCs/>
          <w:sz w:val="18"/>
          <w:szCs w:val="18"/>
        </w:rPr>
        <w:t xml:space="preserve">all employees and other stakeholders to support </w:t>
      </w:r>
      <w:r w:rsidRPr="00432EAF">
        <w:rPr>
          <w:bCs/>
          <w:sz w:val="18"/>
          <w:szCs w:val="18"/>
        </w:rPr>
        <w:t>EHS Excellence.</w:t>
      </w:r>
    </w:p>
    <w:p w14:paraId="396D39C7" w14:textId="77777777" w:rsidR="00237C22" w:rsidRPr="00432EAF" w:rsidRDefault="00237C22" w:rsidP="004E3964">
      <w:pPr>
        <w:pStyle w:val="ListParagraph"/>
        <w:widowControl/>
        <w:numPr>
          <w:ilvl w:val="0"/>
          <w:numId w:val="27"/>
        </w:numPr>
        <w:autoSpaceDE/>
        <w:autoSpaceDN/>
        <w:adjustRightInd/>
        <w:spacing w:line="240" w:lineRule="atLeast"/>
        <w:ind w:left="630"/>
        <w:contextualSpacing/>
        <w:rPr>
          <w:bCs/>
          <w:sz w:val="18"/>
          <w:szCs w:val="18"/>
        </w:rPr>
      </w:pPr>
      <w:r w:rsidRPr="00432EAF">
        <w:rPr>
          <w:bCs/>
          <w:sz w:val="18"/>
          <w:szCs w:val="18"/>
        </w:rPr>
        <w:t>Take actions designed to improve health and safety performance through the implementation of best practices and ensure all reported injuries receive the proper care and are aggressively managed to support value added work.</w:t>
      </w:r>
    </w:p>
    <w:p w14:paraId="2E4E5CCA" w14:textId="77777777" w:rsidR="00237C22" w:rsidRPr="00432EAF" w:rsidRDefault="00237C22" w:rsidP="004E3964">
      <w:pPr>
        <w:pStyle w:val="ListParagraph"/>
        <w:widowControl/>
        <w:numPr>
          <w:ilvl w:val="0"/>
          <w:numId w:val="27"/>
        </w:numPr>
        <w:autoSpaceDE/>
        <w:autoSpaceDN/>
        <w:adjustRightInd/>
        <w:spacing w:line="240" w:lineRule="atLeast"/>
        <w:ind w:left="630"/>
        <w:contextualSpacing/>
        <w:rPr>
          <w:bCs/>
          <w:sz w:val="18"/>
          <w:szCs w:val="18"/>
        </w:rPr>
      </w:pPr>
      <w:r w:rsidRPr="00432EAF">
        <w:rPr>
          <w:bCs/>
          <w:sz w:val="18"/>
          <w:szCs w:val="18"/>
        </w:rPr>
        <w:t>Seamlessly integrate health and safety management into business planning and processes.</w:t>
      </w:r>
    </w:p>
    <w:p w14:paraId="0F4A6E87" w14:textId="33D7D529" w:rsidR="00237C22" w:rsidRDefault="00237C22" w:rsidP="004E3964">
      <w:pPr>
        <w:pStyle w:val="ListParagraph"/>
        <w:widowControl/>
        <w:numPr>
          <w:ilvl w:val="0"/>
          <w:numId w:val="27"/>
        </w:numPr>
        <w:autoSpaceDE/>
        <w:autoSpaceDN/>
        <w:adjustRightInd/>
        <w:spacing w:line="240" w:lineRule="atLeast"/>
        <w:ind w:left="630"/>
        <w:contextualSpacing/>
        <w:rPr>
          <w:bCs/>
          <w:sz w:val="18"/>
          <w:szCs w:val="18"/>
        </w:rPr>
      </w:pPr>
      <w:r w:rsidRPr="00432EAF">
        <w:rPr>
          <w:bCs/>
          <w:sz w:val="18"/>
          <w:szCs w:val="18"/>
        </w:rPr>
        <w:t>Recognize successes and safe behaviors and hold all employees, contractors, suppliers, and visitors accountable for expected EHS behaviors, performance, and continuous improvement.</w:t>
      </w:r>
    </w:p>
    <w:p w14:paraId="4D0418F1" w14:textId="04E4A6AE" w:rsidR="00A832B2" w:rsidRDefault="00A832B2" w:rsidP="00A832B2">
      <w:pPr>
        <w:widowControl/>
        <w:autoSpaceDE/>
        <w:autoSpaceDN/>
        <w:adjustRightInd/>
        <w:spacing w:line="240" w:lineRule="atLeast"/>
        <w:contextualSpacing/>
        <w:rPr>
          <w:bCs/>
          <w:sz w:val="18"/>
          <w:szCs w:val="18"/>
        </w:rPr>
      </w:pPr>
    </w:p>
    <w:p w14:paraId="3B4503A2" w14:textId="5389A4EE" w:rsidR="00A832B2" w:rsidRDefault="00A832B2" w:rsidP="00A832B2">
      <w:pPr>
        <w:pStyle w:val="Heading1"/>
        <w:numPr>
          <w:ilvl w:val="0"/>
          <w:numId w:val="2"/>
        </w:numPr>
        <w:tabs>
          <w:tab w:val="left" w:pos="1416"/>
        </w:tabs>
        <w:kinsoku w:val="0"/>
        <w:overflowPunct w:val="0"/>
        <w:ind w:left="0" w:firstLine="0"/>
        <w:rPr>
          <w:b w:val="0"/>
          <w:bCs w:val="0"/>
          <w:color w:val="323299"/>
        </w:rPr>
      </w:pPr>
      <w:r>
        <w:rPr>
          <w:color w:val="323299"/>
        </w:rPr>
        <w:t>Reporting</w:t>
      </w:r>
    </w:p>
    <w:p w14:paraId="62892436" w14:textId="423F1F15" w:rsidR="00A832B2" w:rsidRDefault="00A832B2" w:rsidP="00A832B2"/>
    <w:p w14:paraId="1185BC01" w14:textId="04B90C02" w:rsidR="00A832B2" w:rsidRPr="00A832B2" w:rsidRDefault="00A832B2" w:rsidP="00A832B2">
      <w:pPr>
        <w:widowControl/>
        <w:autoSpaceDE/>
        <w:autoSpaceDN/>
        <w:adjustRightInd/>
        <w:spacing w:line="240" w:lineRule="atLeast"/>
        <w:contextualSpacing/>
        <w:rPr>
          <w:bCs/>
          <w:sz w:val="18"/>
          <w:szCs w:val="18"/>
        </w:rPr>
      </w:pPr>
      <w:r>
        <w:rPr>
          <w:bCs/>
          <w:sz w:val="18"/>
          <w:szCs w:val="18"/>
        </w:rPr>
        <w:t xml:space="preserve">All </w:t>
      </w:r>
      <w:r w:rsidR="00B04E4B">
        <w:rPr>
          <w:bCs/>
          <w:sz w:val="18"/>
          <w:szCs w:val="18"/>
        </w:rPr>
        <w:t>violations of this policy, including workplace injuries or any other violation,</w:t>
      </w:r>
      <w:r>
        <w:rPr>
          <w:bCs/>
          <w:sz w:val="18"/>
          <w:szCs w:val="18"/>
        </w:rPr>
        <w:t xml:space="preserve"> must be reported as soon as reasonably possible. Failure to </w:t>
      </w:r>
      <w:r w:rsidR="00B04E4B">
        <w:rPr>
          <w:bCs/>
          <w:sz w:val="18"/>
          <w:szCs w:val="18"/>
        </w:rPr>
        <w:t>do so</w:t>
      </w:r>
      <w:r>
        <w:rPr>
          <w:bCs/>
          <w:sz w:val="18"/>
          <w:szCs w:val="18"/>
        </w:rPr>
        <w:t xml:space="preserve"> is a violation of this policy and will result in discipline, up to and including termination. Such reports</w:t>
      </w:r>
      <w:r w:rsidR="00C34D4D">
        <w:rPr>
          <w:bCs/>
          <w:sz w:val="18"/>
          <w:szCs w:val="18"/>
        </w:rPr>
        <w:t>, and any reports of known or suspected violations of this policy</w:t>
      </w:r>
      <w:r>
        <w:rPr>
          <w:bCs/>
          <w:sz w:val="18"/>
          <w:szCs w:val="18"/>
        </w:rPr>
        <w:t xml:space="preserve"> may be made to a manager, supervisor, human resources, the REV Group legal department, or anonymously through the compliance hotline referenced in the Speak Up Policy. </w:t>
      </w:r>
      <w:r w:rsidR="00B04E4B">
        <w:rPr>
          <w:bCs/>
          <w:sz w:val="18"/>
          <w:szCs w:val="18"/>
        </w:rPr>
        <w:t xml:space="preserve">REV will not tolerate any retaliation or retribution against anyone who makes such a report in good faith. </w:t>
      </w:r>
    </w:p>
    <w:p w14:paraId="52DB1F1A" w14:textId="77777777" w:rsidR="00A832B2" w:rsidRPr="00A832B2" w:rsidRDefault="00A832B2" w:rsidP="00A832B2">
      <w:pPr>
        <w:widowControl/>
        <w:autoSpaceDE/>
        <w:autoSpaceDN/>
        <w:adjustRightInd/>
        <w:spacing w:line="240" w:lineRule="atLeast"/>
        <w:contextualSpacing/>
        <w:rPr>
          <w:bCs/>
          <w:sz w:val="18"/>
          <w:szCs w:val="18"/>
        </w:rPr>
      </w:pPr>
    </w:p>
    <w:p w14:paraId="02EA6269" w14:textId="77777777" w:rsidR="00EC54AB" w:rsidRDefault="00EC54AB" w:rsidP="00EC54AB"/>
    <w:p w14:paraId="642951CC" w14:textId="77777777" w:rsidR="002335CE" w:rsidRDefault="002335CE" w:rsidP="002335CE"/>
    <w:p w14:paraId="1847FBBB" w14:textId="77777777" w:rsidR="00047AB7" w:rsidRDefault="00047AB7" w:rsidP="00047AB7">
      <w:pPr>
        <w:pStyle w:val="BodyText"/>
        <w:tabs>
          <w:tab w:val="left" w:pos="3912"/>
        </w:tabs>
        <w:kinsoku w:val="0"/>
        <w:overflowPunct w:val="0"/>
        <w:spacing w:before="5"/>
        <w:rPr>
          <w:i w:val="0"/>
          <w:sz w:val="20"/>
          <w:szCs w:val="20"/>
        </w:rPr>
      </w:pPr>
    </w:p>
    <w:p w14:paraId="1C9100FD" w14:textId="77777777" w:rsidR="009A3D07" w:rsidRPr="005C7CFA" w:rsidRDefault="009A3D07" w:rsidP="00047AB7">
      <w:pPr>
        <w:pStyle w:val="BodyText"/>
        <w:tabs>
          <w:tab w:val="left" w:pos="3912"/>
        </w:tabs>
        <w:kinsoku w:val="0"/>
        <w:overflowPunct w:val="0"/>
        <w:spacing w:before="5"/>
        <w:rPr>
          <w:color w:val="323299"/>
        </w:rPr>
      </w:pPr>
      <w:r>
        <w:rPr>
          <w:i w:val="0"/>
          <w:sz w:val="20"/>
          <w:szCs w:val="20"/>
        </w:rPr>
        <w:tab/>
      </w:r>
      <w:r w:rsidRPr="005C7CFA">
        <w:rPr>
          <w:color w:val="323299"/>
        </w:rPr>
        <w:t>Document Revision</w:t>
      </w:r>
      <w:r w:rsidRPr="005C7CFA">
        <w:rPr>
          <w:color w:val="323299"/>
          <w:spacing w:val="-8"/>
        </w:rPr>
        <w:t xml:space="preserve"> </w:t>
      </w:r>
      <w:r w:rsidRPr="005C7CFA">
        <w:rPr>
          <w:color w:val="323299"/>
        </w:rPr>
        <w:t>History</w:t>
      </w:r>
    </w:p>
    <w:tbl>
      <w:tblPr>
        <w:tblW w:w="0" w:type="auto"/>
        <w:tblInd w:w="242" w:type="dxa"/>
        <w:tblLayout w:type="fixed"/>
        <w:tblCellMar>
          <w:left w:w="0" w:type="dxa"/>
          <w:right w:w="0" w:type="dxa"/>
        </w:tblCellMar>
        <w:tblLook w:val="0000" w:firstRow="0" w:lastRow="0" w:firstColumn="0" w:lastColumn="0" w:noHBand="0" w:noVBand="0"/>
      </w:tblPr>
      <w:tblGrid>
        <w:gridCol w:w="1099"/>
        <w:gridCol w:w="1525"/>
        <w:gridCol w:w="6736"/>
      </w:tblGrid>
      <w:tr w:rsidR="009A3D07" w:rsidRPr="005C7CFA" w14:paraId="57D85387" w14:textId="77777777" w:rsidTr="009E4074">
        <w:trPr>
          <w:trHeight w:hRule="exact" w:val="325"/>
        </w:trPr>
        <w:tc>
          <w:tcPr>
            <w:tcW w:w="1099" w:type="dxa"/>
            <w:tcBorders>
              <w:top w:val="single" w:sz="11" w:space="0" w:color="000000"/>
              <w:left w:val="single" w:sz="11" w:space="0" w:color="000000"/>
              <w:bottom w:val="single" w:sz="5" w:space="0" w:color="000000"/>
              <w:right w:val="single" w:sz="5" w:space="0" w:color="000000"/>
            </w:tcBorders>
            <w:shd w:val="clear" w:color="auto" w:fill="E5E5E5"/>
          </w:tcPr>
          <w:p w14:paraId="01DFAB67" w14:textId="77777777" w:rsidR="009A3D07" w:rsidRPr="005C7CFA" w:rsidRDefault="009A3D07" w:rsidP="00047AB7">
            <w:pPr>
              <w:pStyle w:val="TableParagraph"/>
              <w:kinsoku w:val="0"/>
              <w:overflowPunct w:val="0"/>
              <w:spacing w:before="55"/>
              <w:ind w:left="0" w:right="227"/>
              <w:rPr>
                <w:rFonts w:ascii="Times New Roman" w:hAnsi="Times New Roman" w:cs="Times New Roman"/>
              </w:rPr>
            </w:pPr>
            <w:r w:rsidRPr="005C7CFA">
              <w:rPr>
                <w:b/>
                <w:bCs/>
                <w:sz w:val="16"/>
                <w:szCs w:val="16"/>
              </w:rPr>
              <w:t>Version</w:t>
            </w:r>
          </w:p>
        </w:tc>
        <w:tc>
          <w:tcPr>
            <w:tcW w:w="1525" w:type="dxa"/>
            <w:tcBorders>
              <w:top w:val="single" w:sz="11" w:space="0" w:color="000000"/>
              <w:left w:val="single" w:sz="5" w:space="0" w:color="000000"/>
              <w:bottom w:val="single" w:sz="5" w:space="0" w:color="000000"/>
              <w:right w:val="single" w:sz="5" w:space="0" w:color="000000"/>
            </w:tcBorders>
            <w:shd w:val="clear" w:color="auto" w:fill="E5E5E5"/>
          </w:tcPr>
          <w:p w14:paraId="7CBF3873" w14:textId="77777777" w:rsidR="009A3D07" w:rsidRPr="005C7CFA" w:rsidRDefault="009A3D07" w:rsidP="00047AB7">
            <w:pPr>
              <w:pStyle w:val="TableParagraph"/>
              <w:kinsoku w:val="0"/>
              <w:overflowPunct w:val="0"/>
              <w:spacing w:before="55"/>
              <w:ind w:left="0" w:right="368"/>
              <w:rPr>
                <w:rFonts w:ascii="Times New Roman" w:hAnsi="Times New Roman" w:cs="Times New Roman"/>
              </w:rPr>
            </w:pPr>
            <w:r w:rsidRPr="005C7CFA">
              <w:rPr>
                <w:b/>
                <w:bCs/>
                <w:sz w:val="16"/>
                <w:szCs w:val="16"/>
              </w:rPr>
              <w:t>Date</w:t>
            </w:r>
          </w:p>
        </w:tc>
        <w:tc>
          <w:tcPr>
            <w:tcW w:w="6736" w:type="dxa"/>
            <w:tcBorders>
              <w:top w:val="single" w:sz="11" w:space="0" w:color="000000"/>
              <w:left w:val="single" w:sz="5" w:space="0" w:color="000000"/>
              <w:bottom w:val="single" w:sz="5" w:space="0" w:color="000000"/>
              <w:right w:val="single" w:sz="11" w:space="0" w:color="000000"/>
            </w:tcBorders>
            <w:shd w:val="clear" w:color="auto" w:fill="E5E5E5"/>
          </w:tcPr>
          <w:p w14:paraId="4EE59029" w14:textId="77777777" w:rsidR="009A3D07" w:rsidRPr="005C7CFA" w:rsidRDefault="009A3D07" w:rsidP="00047AB7">
            <w:pPr>
              <w:pStyle w:val="TableParagraph"/>
              <w:kinsoku w:val="0"/>
              <w:overflowPunct w:val="0"/>
              <w:spacing w:before="55"/>
              <w:ind w:left="0" w:right="2642"/>
              <w:rPr>
                <w:rFonts w:ascii="Times New Roman" w:hAnsi="Times New Roman" w:cs="Times New Roman"/>
              </w:rPr>
            </w:pPr>
            <w:r w:rsidRPr="005C7CFA">
              <w:rPr>
                <w:b/>
                <w:bCs/>
                <w:sz w:val="16"/>
                <w:szCs w:val="16"/>
              </w:rPr>
              <w:t>Description of changes</w:t>
            </w:r>
          </w:p>
        </w:tc>
      </w:tr>
      <w:tr w:rsidR="009A3D07" w:rsidRPr="005C7CFA" w14:paraId="5D5011CC" w14:textId="77777777" w:rsidTr="00A11F4E">
        <w:trPr>
          <w:trHeight w:hRule="exact" w:val="319"/>
        </w:trPr>
        <w:tc>
          <w:tcPr>
            <w:tcW w:w="1099" w:type="dxa"/>
            <w:tcBorders>
              <w:top w:val="single" w:sz="5" w:space="0" w:color="000000"/>
              <w:left w:val="single" w:sz="11" w:space="0" w:color="000000"/>
              <w:bottom w:val="single" w:sz="5" w:space="0" w:color="000000"/>
              <w:right w:val="single" w:sz="5" w:space="0" w:color="000000"/>
            </w:tcBorders>
          </w:tcPr>
          <w:p w14:paraId="21094BB2" w14:textId="77777777" w:rsidR="009A3D07" w:rsidRPr="005C7CFA" w:rsidRDefault="009A3D07" w:rsidP="00047AB7">
            <w:pPr>
              <w:pStyle w:val="TableParagraph"/>
              <w:kinsoku w:val="0"/>
              <w:overflowPunct w:val="0"/>
              <w:spacing w:before="58"/>
              <w:ind w:left="0" w:right="227"/>
              <w:rPr>
                <w:sz w:val="16"/>
                <w:szCs w:val="16"/>
              </w:rPr>
            </w:pPr>
            <w:r w:rsidRPr="005C7CFA">
              <w:rPr>
                <w:sz w:val="16"/>
                <w:szCs w:val="16"/>
              </w:rPr>
              <w:t>1.0</w:t>
            </w:r>
          </w:p>
        </w:tc>
        <w:tc>
          <w:tcPr>
            <w:tcW w:w="1525" w:type="dxa"/>
            <w:tcBorders>
              <w:top w:val="single" w:sz="5" w:space="0" w:color="000000"/>
              <w:left w:val="single" w:sz="5" w:space="0" w:color="000000"/>
              <w:bottom w:val="single" w:sz="5" w:space="0" w:color="000000"/>
              <w:right w:val="single" w:sz="5" w:space="0" w:color="000000"/>
            </w:tcBorders>
            <w:vAlign w:val="center"/>
          </w:tcPr>
          <w:p w14:paraId="7CA9A37B" w14:textId="19AD1E40" w:rsidR="009A3D07" w:rsidRPr="005C7CFA" w:rsidRDefault="009308EF" w:rsidP="00A11F4E">
            <w:pPr>
              <w:jc w:val="center"/>
              <w:rPr>
                <w:sz w:val="16"/>
                <w:szCs w:val="16"/>
              </w:rPr>
            </w:pPr>
            <w:r>
              <w:rPr>
                <w:sz w:val="16"/>
                <w:szCs w:val="16"/>
              </w:rPr>
              <w:t>July 8, 2022</w:t>
            </w:r>
          </w:p>
        </w:tc>
        <w:tc>
          <w:tcPr>
            <w:tcW w:w="6736" w:type="dxa"/>
            <w:tcBorders>
              <w:top w:val="single" w:sz="5" w:space="0" w:color="000000"/>
              <w:left w:val="single" w:sz="5" w:space="0" w:color="000000"/>
              <w:bottom w:val="single" w:sz="5" w:space="0" w:color="000000"/>
              <w:right w:val="single" w:sz="11" w:space="0" w:color="000000"/>
            </w:tcBorders>
            <w:vAlign w:val="center"/>
          </w:tcPr>
          <w:p w14:paraId="12F1B241" w14:textId="5D61312D" w:rsidR="009A3D07" w:rsidRPr="005C7CFA" w:rsidRDefault="009308EF" w:rsidP="00047AB7">
            <w:pPr>
              <w:rPr>
                <w:sz w:val="16"/>
                <w:szCs w:val="16"/>
              </w:rPr>
            </w:pPr>
            <w:r>
              <w:rPr>
                <w:sz w:val="16"/>
                <w:szCs w:val="16"/>
              </w:rPr>
              <w:t>Initial release</w:t>
            </w:r>
          </w:p>
        </w:tc>
      </w:tr>
      <w:tr w:rsidR="009A3D07" w:rsidRPr="005C7CFA" w14:paraId="6A185BB8" w14:textId="77777777" w:rsidTr="009E4074">
        <w:trPr>
          <w:trHeight w:hRule="exact" w:val="319"/>
        </w:trPr>
        <w:tc>
          <w:tcPr>
            <w:tcW w:w="1099" w:type="dxa"/>
            <w:tcBorders>
              <w:top w:val="single" w:sz="5" w:space="0" w:color="000000"/>
              <w:left w:val="single" w:sz="11" w:space="0" w:color="000000"/>
              <w:bottom w:val="single" w:sz="5" w:space="0" w:color="000000"/>
              <w:right w:val="single" w:sz="5" w:space="0" w:color="000000"/>
            </w:tcBorders>
          </w:tcPr>
          <w:p w14:paraId="63C7A310" w14:textId="77777777" w:rsidR="009A3D07" w:rsidRPr="005C7CFA" w:rsidRDefault="009A3D07" w:rsidP="00047AB7">
            <w:pPr>
              <w:pStyle w:val="TableParagraph"/>
              <w:kinsoku w:val="0"/>
              <w:overflowPunct w:val="0"/>
              <w:spacing w:before="56"/>
              <w:ind w:left="0" w:right="227"/>
              <w:rPr>
                <w:sz w:val="16"/>
                <w:szCs w:val="16"/>
              </w:rPr>
            </w:pPr>
            <w:r w:rsidRPr="005C7CFA">
              <w:rPr>
                <w:sz w:val="16"/>
                <w:szCs w:val="16"/>
              </w:rPr>
              <w:t>1.1</w:t>
            </w:r>
          </w:p>
        </w:tc>
        <w:tc>
          <w:tcPr>
            <w:tcW w:w="1525" w:type="dxa"/>
            <w:tcBorders>
              <w:top w:val="single" w:sz="5" w:space="0" w:color="000000"/>
              <w:left w:val="single" w:sz="5" w:space="0" w:color="000000"/>
              <w:bottom w:val="single" w:sz="5" w:space="0" w:color="000000"/>
              <w:right w:val="single" w:sz="5" w:space="0" w:color="000000"/>
            </w:tcBorders>
          </w:tcPr>
          <w:p w14:paraId="7CC7827D" w14:textId="392DA5EE" w:rsidR="009A3D07" w:rsidRPr="005C7CFA" w:rsidRDefault="009A3D07" w:rsidP="00047AB7">
            <w:pPr>
              <w:rPr>
                <w:sz w:val="16"/>
                <w:szCs w:val="16"/>
              </w:rPr>
            </w:pPr>
          </w:p>
        </w:tc>
        <w:tc>
          <w:tcPr>
            <w:tcW w:w="6736" w:type="dxa"/>
            <w:tcBorders>
              <w:top w:val="single" w:sz="5" w:space="0" w:color="000000"/>
              <w:left w:val="single" w:sz="5" w:space="0" w:color="000000"/>
              <w:bottom w:val="single" w:sz="5" w:space="0" w:color="000000"/>
              <w:right w:val="single" w:sz="11" w:space="0" w:color="000000"/>
            </w:tcBorders>
          </w:tcPr>
          <w:p w14:paraId="0CE5E1E9" w14:textId="2743735B" w:rsidR="009A3D07" w:rsidRPr="005C7CFA" w:rsidRDefault="009A3D07" w:rsidP="00047AB7">
            <w:pPr>
              <w:rPr>
                <w:sz w:val="16"/>
                <w:szCs w:val="16"/>
              </w:rPr>
            </w:pPr>
          </w:p>
        </w:tc>
      </w:tr>
      <w:tr w:rsidR="009A3D07" w:rsidRPr="005C7CFA" w14:paraId="1B46E6F6" w14:textId="77777777" w:rsidTr="009E4074">
        <w:trPr>
          <w:trHeight w:hRule="exact" w:val="319"/>
        </w:trPr>
        <w:tc>
          <w:tcPr>
            <w:tcW w:w="1099" w:type="dxa"/>
            <w:tcBorders>
              <w:top w:val="single" w:sz="5" w:space="0" w:color="000000"/>
              <w:left w:val="single" w:sz="11" w:space="0" w:color="000000"/>
              <w:bottom w:val="single" w:sz="5" w:space="0" w:color="000000"/>
              <w:right w:val="single" w:sz="5" w:space="0" w:color="000000"/>
            </w:tcBorders>
          </w:tcPr>
          <w:p w14:paraId="438384E6" w14:textId="77777777" w:rsidR="009A3D07" w:rsidRPr="005C7CFA" w:rsidRDefault="009A3D07" w:rsidP="00047AB7">
            <w:pPr>
              <w:pStyle w:val="TableParagraph"/>
              <w:kinsoku w:val="0"/>
              <w:overflowPunct w:val="0"/>
              <w:spacing w:before="56"/>
              <w:ind w:left="0" w:right="227"/>
              <w:rPr>
                <w:sz w:val="16"/>
                <w:szCs w:val="16"/>
              </w:rPr>
            </w:pPr>
            <w:r w:rsidRPr="005C7CFA">
              <w:rPr>
                <w:sz w:val="16"/>
                <w:szCs w:val="16"/>
              </w:rPr>
              <w:t>1.2</w:t>
            </w:r>
          </w:p>
        </w:tc>
        <w:tc>
          <w:tcPr>
            <w:tcW w:w="1525" w:type="dxa"/>
            <w:tcBorders>
              <w:top w:val="single" w:sz="5" w:space="0" w:color="000000"/>
              <w:left w:val="single" w:sz="5" w:space="0" w:color="000000"/>
              <w:bottom w:val="single" w:sz="5" w:space="0" w:color="000000"/>
              <w:right w:val="single" w:sz="5" w:space="0" w:color="000000"/>
            </w:tcBorders>
          </w:tcPr>
          <w:p w14:paraId="278E4A57" w14:textId="77777777" w:rsidR="009A3D07" w:rsidRPr="005C7CFA" w:rsidRDefault="009A3D07" w:rsidP="00047AB7">
            <w:pPr>
              <w:rPr>
                <w:sz w:val="16"/>
                <w:szCs w:val="16"/>
              </w:rPr>
            </w:pPr>
          </w:p>
        </w:tc>
        <w:tc>
          <w:tcPr>
            <w:tcW w:w="6736" w:type="dxa"/>
            <w:tcBorders>
              <w:top w:val="single" w:sz="5" w:space="0" w:color="000000"/>
              <w:left w:val="single" w:sz="5" w:space="0" w:color="000000"/>
              <w:bottom w:val="single" w:sz="5" w:space="0" w:color="000000"/>
              <w:right w:val="single" w:sz="11" w:space="0" w:color="000000"/>
            </w:tcBorders>
          </w:tcPr>
          <w:p w14:paraId="18C6BCD5" w14:textId="77777777" w:rsidR="009A3D07" w:rsidRPr="005C7CFA" w:rsidRDefault="009A3D07" w:rsidP="00047AB7">
            <w:pPr>
              <w:rPr>
                <w:sz w:val="16"/>
                <w:szCs w:val="16"/>
              </w:rPr>
            </w:pPr>
          </w:p>
        </w:tc>
      </w:tr>
      <w:tr w:rsidR="009A3D07" w:rsidRPr="005C7CFA" w14:paraId="65EC694D" w14:textId="77777777" w:rsidTr="009E4074">
        <w:trPr>
          <w:trHeight w:hRule="exact" w:val="319"/>
        </w:trPr>
        <w:tc>
          <w:tcPr>
            <w:tcW w:w="1099" w:type="dxa"/>
            <w:tcBorders>
              <w:top w:val="single" w:sz="5" w:space="0" w:color="000000"/>
              <w:left w:val="single" w:sz="11" w:space="0" w:color="000000"/>
              <w:bottom w:val="single" w:sz="5" w:space="0" w:color="000000"/>
              <w:right w:val="single" w:sz="5" w:space="0" w:color="000000"/>
            </w:tcBorders>
          </w:tcPr>
          <w:p w14:paraId="0A172BF6" w14:textId="77777777" w:rsidR="009A3D07" w:rsidRPr="005C7CFA" w:rsidRDefault="009A3D07" w:rsidP="00047AB7">
            <w:pPr>
              <w:pStyle w:val="TableParagraph"/>
              <w:kinsoku w:val="0"/>
              <w:overflowPunct w:val="0"/>
              <w:spacing w:before="56"/>
              <w:ind w:left="0" w:right="227"/>
              <w:rPr>
                <w:sz w:val="16"/>
                <w:szCs w:val="16"/>
              </w:rPr>
            </w:pPr>
            <w:r w:rsidRPr="005C7CFA">
              <w:rPr>
                <w:sz w:val="16"/>
                <w:szCs w:val="16"/>
              </w:rPr>
              <w:t>1.3</w:t>
            </w:r>
          </w:p>
        </w:tc>
        <w:tc>
          <w:tcPr>
            <w:tcW w:w="1525" w:type="dxa"/>
            <w:tcBorders>
              <w:top w:val="single" w:sz="5" w:space="0" w:color="000000"/>
              <w:left w:val="single" w:sz="5" w:space="0" w:color="000000"/>
              <w:bottom w:val="single" w:sz="5" w:space="0" w:color="000000"/>
              <w:right w:val="single" w:sz="5" w:space="0" w:color="000000"/>
            </w:tcBorders>
          </w:tcPr>
          <w:p w14:paraId="35FE1F82" w14:textId="77777777" w:rsidR="009A3D07" w:rsidRPr="005C7CFA" w:rsidRDefault="009A3D07" w:rsidP="00047AB7">
            <w:pPr>
              <w:rPr>
                <w:sz w:val="16"/>
                <w:szCs w:val="16"/>
              </w:rPr>
            </w:pPr>
          </w:p>
        </w:tc>
        <w:tc>
          <w:tcPr>
            <w:tcW w:w="6736" w:type="dxa"/>
            <w:tcBorders>
              <w:top w:val="single" w:sz="5" w:space="0" w:color="000000"/>
              <w:left w:val="single" w:sz="5" w:space="0" w:color="000000"/>
              <w:bottom w:val="single" w:sz="5" w:space="0" w:color="000000"/>
              <w:right w:val="single" w:sz="11" w:space="0" w:color="000000"/>
            </w:tcBorders>
          </w:tcPr>
          <w:p w14:paraId="710B9F55" w14:textId="77777777" w:rsidR="009A3D07" w:rsidRPr="005C7CFA" w:rsidRDefault="009A3D07" w:rsidP="00047AB7">
            <w:pPr>
              <w:rPr>
                <w:sz w:val="16"/>
                <w:szCs w:val="16"/>
              </w:rPr>
            </w:pPr>
          </w:p>
        </w:tc>
      </w:tr>
      <w:tr w:rsidR="009A3D07" w:rsidRPr="005C7CFA" w14:paraId="275DE2F2" w14:textId="77777777" w:rsidTr="009E4074">
        <w:trPr>
          <w:trHeight w:hRule="exact" w:val="319"/>
        </w:trPr>
        <w:tc>
          <w:tcPr>
            <w:tcW w:w="1099" w:type="dxa"/>
            <w:tcBorders>
              <w:top w:val="single" w:sz="5" w:space="0" w:color="000000"/>
              <w:left w:val="single" w:sz="11" w:space="0" w:color="000000"/>
              <w:bottom w:val="single" w:sz="5" w:space="0" w:color="000000"/>
              <w:right w:val="single" w:sz="5" w:space="0" w:color="000000"/>
            </w:tcBorders>
          </w:tcPr>
          <w:p w14:paraId="39909EB1" w14:textId="77777777" w:rsidR="009A3D07" w:rsidRPr="005C7CFA" w:rsidRDefault="009A3D07" w:rsidP="00047AB7">
            <w:pPr>
              <w:pStyle w:val="TableParagraph"/>
              <w:kinsoku w:val="0"/>
              <w:overflowPunct w:val="0"/>
              <w:spacing w:before="56"/>
              <w:ind w:left="0" w:right="227"/>
              <w:rPr>
                <w:sz w:val="16"/>
                <w:szCs w:val="16"/>
              </w:rPr>
            </w:pPr>
            <w:r w:rsidRPr="005C7CFA">
              <w:rPr>
                <w:sz w:val="16"/>
                <w:szCs w:val="16"/>
              </w:rPr>
              <w:t>1.4</w:t>
            </w:r>
          </w:p>
        </w:tc>
        <w:tc>
          <w:tcPr>
            <w:tcW w:w="1525" w:type="dxa"/>
            <w:tcBorders>
              <w:top w:val="single" w:sz="5" w:space="0" w:color="000000"/>
              <w:left w:val="single" w:sz="5" w:space="0" w:color="000000"/>
              <w:bottom w:val="single" w:sz="5" w:space="0" w:color="000000"/>
              <w:right w:val="single" w:sz="5" w:space="0" w:color="000000"/>
            </w:tcBorders>
          </w:tcPr>
          <w:p w14:paraId="7C24BF78" w14:textId="77777777" w:rsidR="009A3D07" w:rsidRPr="005C7CFA" w:rsidRDefault="009A3D07" w:rsidP="00047AB7">
            <w:pPr>
              <w:rPr>
                <w:sz w:val="16"/>
                <w:szCs w:val="16"/>
              </w:rPr>
            </w:pPr>
          </w:p>
        </w:tc>
        <w:tc>
          <w:tcPr>
            <w:tcW w:w="6736" w:type="dxa"/>
            <w:tcBorders>
              <w:top w:val="single" w:sz="5" w:space="0" w:color="000000"/>
              <w:left w:val="single" w:sz="5" w:space="0" w:color="000000"/>
              <w:bottom w:val="single" w:sz="5" w:space="0" w:color="000000"/>
              <w:right w:val="single" w:sz="11" w:space="0" w:color="000000"/>
            </w:tcBorders>
          </w:tcPr>
          <w:p w14:paraId="28D25043" w14:textId="77777777" w:rsidR="009A3D07" w:rsidRPr="005C7CFA" w:rsidRDefault="009A3D07" w:rsidP="00047AB7">
            <w:pPr>
              <w:rPr>
                <w:sz w:val="16"/>
                <w:szCs w:val="16"/>
              </w:rPr>
            </w:pPr>
          </w:p>
        </w:tc>
      </w:tr>
      <w:tr w:rsidR="009A3D07" w:rsidRPr="005C7CFA" w14:paraId="0985AB63" w14:textId="77777777" w:rsidTr="009E4074">
        <w:trPr>
          <w:trHeight w:hRule="exact" w:val="324"/>
        </w:trPr>
        <w:tc>
          <w:tcPr>
            <w:tcW w:w="1099" w:type="dxa"/>
            <w:tcBorders>
              <w:top w:val="single" w:sz="5" w:space="0" w:color="000000"/>
              <w:left w:val="single" w:sz="11" w:space="0" w:color="000000"/>
              <w:bottom w:val="single" w:sz="11" w:space="0" w:color="000000"/>
              <w:right w:val="single" w:sz="5" w:space="0" w:color="000000"/>
            </w:tcBorders>
          </w:tcPr>
          <w:p w14:paraId="57D83820" w14:textId="77777777" w:rsidR="009A3D07" w:rsidRPr="005C7CFA" w:rsidRDefault="00047AB7" w:rsidP="00047AB7">
            <w:pPr>
              <w:pStyle w:val="TableParagraph"/>
              <w:kinsoku w:val="0"/>
              <w:overflowPunct w:val="0"/>
              <w:spacing w:before="56"/>
              <w:ind w:left="0" w:right="227"/>
              <w:rPr>
                <w:sz w:val="16"/>
                <w:szCs w:val="16"/>
              </w:rPr>
            </w:pPr>
            <w:r>
              <w:rPr>
                <w:sz w:val="16"/>
                <w:szCs w:val="16"/>
              </w:rPr>
              <w:t>1</w:t>
            </w:r>
            <w:r w:rsidR="009A3D07" w:rsidRPr="005C7CFA">
              <w:rPr>
                <w:sz w:val="16"/>
                <w:szCs w:val="16"/>
              </w:rPr>
              <w:t>.5</w:t>
            </w:r>
          </w:p>
        </w:tc>
        <w:tc>
          <w:tcPr>
            <w:tcW w:w="1525" w:type="dxa"/>
            <w:tcBorders>
              <w:top w:val="single" w:sz="5" w:space="0" w:color="000000"/>
              <w:left w:val="single" w:sz="5" w:space="0" w:color="000000"/>
              <w:bottom w:val="single" w:sz="11" w:space="0" w:color="000000"/>
              <w:right w:val="single" w:sz="5" w:space="0" w:color="000000"/>
            </w:tcBorders>
          </w:tcPr>
          <w:p w14:paraId="1CEE1824" w14:textId="77777777" w:rsidR="009A3D07" w:rsidRPr="005C7CFA" w:rsidRDefault="009A3D07" w:rsidP="00047AB7">
            <w:pPr>
              <w:rPr>
                <w:sz w:val="16"/>
                <w:szCs w:val="16"/>
              </w:rPr>
            </w:pPr>
          </w:p>
        </w:tc>
        <w:tc>
          <w:tcPr>
            <w:tcW w:w="6736" w:type="dxa"/>
            <w:tcBorders>
              <w:top w:val="single" w:sz="5" w:space="0" w:color="000000"/>
              <w:left w:val="single" w:sz="5" w:space="0" w:color="000000"/>
              <w:bottom w:val="single" w:sz="11" w:space="0" w:color="000000"/>
              <w:right w:val="single" w:sz="11" w:space="0" w:color="000000"/>
            </w:tcBorders>
          </w:tcPr>
          <w:p w14:paraId="7520E1DC" w14:textId="77777777" w:rsidR="009A3D07" w:rsidRPr="005C7CFA" w:rsidRDefault="009A3D07" w:rsidP="00047AB7">
            <w:pPr>
              <w:rPr>
                <w:sz w:val="16"/>
                <w:szCs w:val="16"/>
              </w:rPr>
            </w:pPr>
          </w:p>
        </w:tc>
      </w:tr>
    </w:tbl>
    <w:p w14:paraId="680CAF2F" w14:textId="77777777" w:rsidR="008C0C6E" w:rsidRDefault="008C0C6E" w:rsidP="00047AB7"/>
    <w:sectPr w:rsidR="008C0C6E" w:rsidSect="0020412E">
      <w:headerReference w:type="default" r:id="rId8"/>
      <w:footerReference w:type="default" r:id="rId9"/>
      <w:headerReference w:type="first" r:id="rId10"/>
      <w:pgSz w:w="12240" w:h="15840"/>
      <w:pgMar w:top="1660" w:right="640" w:bottom="1540" w:left="1320" w:header="802" w:footer="130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0F67" w14:textId="77777777" w:rsidR="00EE714A" w:rsidRDefault="00EE714A">
      <w:r>
        <w:separator/>
      </w:r>
    </w:p>
  </w:endnote>
  <w:endnote w:type="continuationSeparator" w:id="0">
    <w:p w14:paraId="737179C6" w14:textId="77777777" w:rsidR="00EE714A" w:rsidRDefault="00EE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terstate-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0129" w14:textId="77777777" w:rsidR="008C0C6E" w:rsidRDefault="008C0C6E">
    <w:pPr>
      <w:pStyle w:val="Footer"/>
      <w:jc w:val="right"/>
    </w:pPr>
  </w:p>
  <w:p w14:paraId="1E886733" w14:textId="77777777" w:rsidR="008C0C6E" w:rsidRPr="00496837" w:rsidRDefault="008C0C6E">
    <w:pPr>
      <w:pStyle w:val="Footer"/>
      <w:jc w:val="right"/>
      <w:rPr>
        <w:sz w:val="18"/>
        <w:szCs w:val="18"/>
      </w:rPr>
    </w:pPr>
    <w:r w:rsidRPr="00496837">
      <w:rPr>
        <w:sz w:val="18"/>
        <w:szCs w:val="18"/>
      </w:rPr>
      <w:t xml:space="preserve">Page </w:t>
    </w:r>
    <w:r w:rsidRPr="00496837">
      <w:rPr>
        <w:bCs/>
        <w:sz w:val="18"/>
        <w:szCs w:val="18"/>
      </w:rPr>
      <w:fldChar w:fldCharType="begin"/>
    </w:r>
    <w:r w:rsidRPr="00496837">
      <w:rPr>
        <w:bCs/>
        <w:sz w:val="18"/>
        <w:szCs w:val="18"/>
      </w:rPr>
      <w:instrText xml:space="preserve"> PAGE </w:instrText>
    </w:r>
    <w:r w:rsidRPr="00496837">
      <w:rPr>
        <w:bCs/>
        <w:sz w:val="18"/>
        <w:szCs w:val="18"/>
      </w:rPr>
      <w:fldChar w:fldCharType="separate"/>
    </w:r>
    <w:r w:rsidR="0027509E">
      <w:rPr>
        <w:bCs/>
        <w:noProof/>
        <w:sz w:val="18"/>
        <w:szCs w:val="18"/>
      </w:rPr>
      <w:t>2</w:t>
    </w:r>
    <w:r w:rsidRPr="00496837">
      <w:rPr>
        <w:bCs/>
        <w:sz w:val="18"/>
        <w:szCs w:val="18"/>
      </w:rPr>
      <w:fldChar w:fldCharType="end"/>
    </w:r>
    <w:r w:rsidRPr="00496837">
      <w:rPr>
        <w:sz w:val="18"/>
        <w:szCs w:val="18"/>
      </w:rPr>
      <w:t xml:space="preserve"> of </w:t>
    </w:r>
    <w:r w:rsidRPr="00496837">
      <w:rPr>
        <w:bCs/>
        <w:sz w:val="18"/>
        <w:szCs w:val="18"/>
      </w:rPr>
      <w:fldChar w:fldCharType="begin"/>
    </w:r>
    <w:r w:rsidRPr="00496837">
      <w:rPr>
        <w:bCs/>
        <w:sz w:val="18"/>
        <w:szCs w:val="18"/>
      </w:rPr>
      <w:instrText xml:space="preserve"> NUMPAGES  </w:instrText>
    </w:r>
    <w:r w:rsidRPr="00496837">
      <w:rPr>
        <w:bCs/>
        <w:sz w:val="18"/>
        <w:szCs w:val="18"/>
      </w:rPr>
      <w:fldChar w:fldCharType="separate"/>
    </w:r>
    <w:r w:rsidR="0027509E">
      <w:rPr>
        <w:bCs/>
        <w:noProof/>
        <w:sz w:val="18"/>
        <w:szCs w:val="18"/>
      </w:rPr>
      <w:t>2</w:t>
    </w:r>
    <w:r w:rsidRPr="00496837">
      <w:rPr>
        <w:bCs/>
        <w:sz w:val="18"/>
        <w:szCs w:val="18"/>
      </w:rPr>
      <w:fldChar w:fldCharType="end"/>
    </w:r>
  </w:p>
  <w:p w14:paraId="71EBD92E" w14:textId="77777777" w:rsidR="008C0C6E" w:rsidRDefault="008C0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B977" w14:textId="77777777" w:rsidR="00EE714A" w:rsidRDefault="00EE714A">
      <w:r>
        <w:separator/>
      </w:r>
    </w:p>
  </w:footnote>
  <w:footnote w:type="continuationSeparator" w:id="0">
    <w:p w14:paraId="5CEAF9F2" w14:textId="77777777" w:rsidR="00EE714A" w:rsidRDefault="00EE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74C3" w14:textId="77777777" w:rsidR="008C0C6E" w:rsidRDefault="008C0C6E">
    <w:pPr>
      <w:pStyle w:val="BodyText"/>
      <w:kinsoku w:val="0"/>
      <w:overflowPunct w:val="0"/>
      <w:spacing w:line="14" w:lineRule="auto"/>
      <w:rPr>
        <w:rFonts w:ascii="Times New Roman" w:hAnsi="Times New Roman" w:cs="Times New Roman"/>
        <w:i w:val="0"/>
        <w:iCs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D572" w14:textId="6289032D" w:rsidR="008C0C6E" w:rsidRPr="001257F9" w:rsidRDefault="00EB0B00" w:rsidP="00EB0B00">
    <w:pPr>
      <w:pStyle w:val="Header"/>
      <w:rPr>
        <w:sz w:val="20"/>
        <w:szCs w:val="20"/>
      </w:rPr>
    </w:pPr>
    <w:r w:rsidRPr="00316B43">
      <w:rPr>
        <w:rFonts w:asciiTheme="majorHAnsi" w:hAnsiTheme="majorHAnsi" w:cs="Interstate-Regular"/>
        <w:b/>
        <w:noProof/>
        <w:sz w:val="18"/>
        <w:szCs w:val="18"/>
      </w:rPr>
      <w:drawing>
        <wp:anchor distT="0" distB="0" distL="114300" distR="114300" simplePos="0" relativeHeight="251659264" behindDoc="0" locked="0" layoutInCell="1" allowOverlap="1" wp14:anchorId="5CE7D23E" wp14:editId="13460637">
          <wp:simplePos x="0" y="0"/>
          <wp:positionH relativeFrom="margin">
            <wp:posOffset>2030753</wp:posOffset>
          </wp:positionH>
          <wp:positionV relativeFrom="paragraph">
            <wp:posOffset>-280296</wp:posOffset>
          </wp:positionV>
          <wp:extent cx="1854200" cy="652145"/>
          <wp:effectExtent l="0" t="0" r="0" b="0"/>
          <wp:wrapTight wrapText="bothSides">
            <wp:wrapPolygon edited="0">
              <wp:start x="13093" y="0"/>
              <wp:lineTo x="9321" y="1893"/>
              <wp:lineTo x="1332" y="8203"/>
              <wp:lineTo x="0" y="18298"/>
              <wp:lineTo x="0" y="20191"/>
              <wp:lineTo x="14647" y="20822"/>
              <wp:lineTo x="16200" y="20822"/>
              <wp:lineTo x="19085" y="10095"/>
              <wp:lineTo x="21304" y="4417"/>
              <wp:lineTo x="21304" y="1893"/>
              <wp:lineTo x="17753" y="0"/>
              <wp:lineTo x="130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5214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16" w:hanging="576"/>
      </w:pPr>
      <w:rPr>
        <w:rFonts w:ascii="Arial" w:hAnsi="Arial" w:cs="Arial"/>
        <w:b/>
        <w:bCs/>
        <w:color w:val="323299"/>
        <w:w w:val="99"/>
        <w:sz w:val="36"/>
        <w:szCs w:val="36"/>
      </w:rPr>
    </w:lvl>
    <w:lvl w:ilvl="1">
      <w:numFmt w:val="bullet"/>
      <w:lvlText w:val="•"/>
      <w:lvlJc w:val="left"/>
      <w:pPr>
        <w:ind w:left="2380" w:hanging="576"/>
      </w:pPr>
    </w:lvl>
    <w:lvl w:ilvl="2">
      <w:numFmt w:val="bullet"/>
      <w:lvlText w:val="•"/>
      <w:lvlJc w:val="left"/>
      <w:pPr>
        <w:ind w:left="3340" w:hanging="576"/>
      </w:pPr>
    </w:lvl>
    <w:lvl w:ilvl="3">
      <w:numFmt w:val="bullet"/>
      <w:lvlText w:val="•"/>
      <w:lvlJc w:val="left"/>
      <w:pPr>
        <w:ind w:left="4300" w:hanging="576"/>
      </w:pPr>
    </w:lvl>
    <w:lvl w:ilvl="4">
      <w:numFmt w:val="bullet"/>
      <w:lvlText w:val="•"/>
      <w:lvlJc w:val="left"/>
      <w:pPr>
        <w:ind w:left="5260" w:hanging="576"/>
      </w:pPr>
    </w:lvl>
    <w:lvl w:ilvl="5">
      <w:numFmt w:val="bullet"/>
      <w:lvlText w:val="•"/>
      <w:lvlJc w:val="left"/>
      <w:pPr>
        <w:ind w:left="6220" w:hanging="576"/>
      </w:pPr>
    </w:lvl>
    <w:lvl w:ilvl="6">
      <w:numFmt w:val="bullet"/>
      <w:lvlText w:val="•"/>
      <w:lvlJc w:val="left"/>
      <w:pPr>
        <w:ind w:left="7180" w:hanging="576"/>
      </w:pPr>
    </w:lvl>
    <w:lvl w:ilvl="7">
      <w:numFmt w:val="bullet"/>
      <w:lvlText w:val="•"/>
      <w:lvlJc w:val="left"/>
      <w:pPr>
        <w:ind w:left="8140" w:hanging="576"/>
      </w:pPr>
    </w:lvl>
    <w:lvl w:ilvl="8">
      <w:numFmt w:val="bullet"/>
      <w:lvlText w:val="•"/>
      <w:lvlJc w:val="left"/>
      <w:pPr>
        <w:ind w:left="9100" w:hanging="576"/>
      </w:pPr>
    </w:lvl>
  </w:abstractNum>
  <w:abstractNum w:abstractNumId="1" w15:restartNumberingAfterBreak="0">
    <w:nsid w:val="00000403"/>
    <w:multiLevelType w:val="multilevel"/>
    <w:tmpl w:val="00000886"/>
    <w:lvl w:ilvl="0">
      <w:numFmt w:val="bullet"/>
      <w:lvlText w:val=""/>
      <w:lvlJc w:val="left"/>
      <w:pPr>
        <w:ind w:left="840" w:hanging="360"/>
      </w:pPr>
      <w:rPr>
        <w:rFonts w:ascii="Symbol" w:hAnsi="Symbol" w:cs="Symbol"/>
        <w:b w:val="0"/>
        <w:bCs w:val="0"/>
        <w:w w:val="99"/>
        <w:sz w:val="18"/>
        <w:szCs w:val="18"/>
      </w:rPr>
    </w:lvl>
    <w:lvl w:ilvl="1">
      <w:numFmt w:val="bullet"/>
      <w:lvlText w:val="•"/>
      <w:lvlJc w:val="left"/>
      <w:pPr>
        <w:ind w:left="1784" w:hanging="360"/>
      </w:pPr>
    </w:lvl>
    <w:lvl w:ilvl="2">
      <w:numFmt w:val="bullet"/>
      <w:lvlText w:val="•"/>
      <w:lvlJc w:val="left"/>
      <w:pPr>
        <w:ind w:left="2728" w:hanging="360"/>
      </w:pPr>
    </w:lvl>
    <w:lvl w:ilvl="3">
      <w:numFmt w:val="bullet"/>
      <w:lvlText w:val="•"/>
      <w:lvlJc w:val="left"/>
      <w:pPr>
        <w:ind w:left="3672" w:hanging="360"/>
      </w:pPr>
    </w:lvl>
    <w:lvl w:ilvl="4">
      <w:numFmt w:val="bullet"/>
      <w:lvlText w:val="•"/>
      <w:lvlJc w:val="left"/>
      <w:pPr>
        <w:ind w:left="4616" w:hanging="360"/>
      </w:pPr>
    </w:lvl>
    <w:lvl w:ilvl="5">
      <w:numFmt w:val="bullet"/>
      <w:lvlText w:val="•"/>
      <w:lvlJc w:val="left"/>
      <w:pPr>
        <w:ind w:left="5560" w:hanging="360"/>
      </w:pPr>
    </w:lvl>
    <w:lvl w:ilvl="6">
      <w:numFmt w:val="bullet"/>
      <w:lvlText w:val="•"/>
      <w:lvlJc w:val="left"/>
      <w:pPr>
        <w:ind w:left="6504" w:hanging="360"/>
      </w:pPr>
    </w:lvl>
    <w:lvl w:ilvl="7">
      <w:numFmt w:val="bullet"/>
      <w:lvlText w:val="•"/>
      <w:lvlJc w:val="left"/>
      <w:pPr>
        <w:ind w:left="7448" w:hanging="360"/>
      </w:pPr>
    </w:lvl>
    <w:lvl w:ilvl="8">
      <w:numFmt w:val="bullet"/>
      <w:lvlText w:val="•"/>
      <w:lvlJc w:val="left"/>
      <w:pPr>
        <w:ind w:left="8392" w:hanging="360"/>
      </w:pPr>
    </w:lvl>
  </w:abstractNum>
  <w:abstractNum w:abstractNumId="2" w15:restartNumberingAfterBreak="0">
    <w:nsid w:val="01B36D2D"/>
    <w:multiLevelType w:val="hybridMultilevel"/>
    <w:tmpl w:val="604476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D2C76"/>
    <w:multiLevelType w:val="hybridMultilevel"/>
    <w:tmpl w:val="CC380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262E78"/>
    <w:multiLevelType w:val="hybridMultilevel"/>
    <w:tmpl w:val="CCF0B60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096D3A2F"/>
    <w:multiLevelType w:val="hybridMultilevel"/>
    <w:tmpl w:val="BED48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62870"/>
    <w:multiLevelType w:val="hybridMultilevel"/>
    <w:tmpl w:val="3ACC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B44EC"/>
    <w:multiLevelType w:val="hybridMultilevel"/>
    <w:tmpl w:val="A1FCB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440721"/>
    <w:multiLevelType w:val="hybridMultilevel"/>
    <w:tmpl w:val="52BE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3A766B"/>
    <w:multiLevelType w:val="hybridMultilevel"/>
    <w:tmpl w:val="F850BB1C"/>
    <w:lvl w:ilvl="0" w:tplc="04090015">
      <w:start w:val="1"/>
      <w:numFmt w:val="upperLetter"/>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FDD76BF"/>
    <w:multiLevelType w:val="hybridMultilevel"/>
    <w:tmpl w:val="46DA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C332C"/>
    <w:multiLevelType w:val="hybridMultilevel"/>
    <w:tmpl w:val="23DAB39A"/>
    <w:lvl w:ilvl="0" w:tplc="7A6AC8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A74F4"/>
    <w:multiLevelType w:val="hybridMultilevel"/>
    <w:tmpl w:val="09D4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3774D"/>
    <w:multiLevelType w:val="hybridMultilevel"/>
    <w:tmpl w:val="35F2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20537"/>
    <w:multiLevelType w:val="hybridMultilevel"/>
    <w:tmpl w:val="69B6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575F6"/>
    <w:multiLevelType w:val="hybridMultilevel"/>
    <w:tmpl w:val="448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C1906"/>
    <w:multiLevelType w:val="hybridMultilevel"/>
    <w:tmpl w:val="7DB28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310742"/>
    <w:multiLevelType w:val="hybridMultilevel"/>
    <w:tmpl w:val="374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A439C"/>
    <w:multiLevelType w:val="hybridMultilevel"/>
    <w:tmpl w:val="D5E4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33536"/>
    <w:multiLevelType w:val="hybridMultilevel"/>
    <w:tmpl w:val="2AFC8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E1772"/>
    <w:multiLevelType w:val="hybridMultilevel"/>
    <w:tmpl w:val="67B6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E46E4"/>
    <w:multiLevelType w:val="hybridMultilevel"/>
    <w:tmpl w:val="2214D130"/>
    <w:lvl w:ilvl="0" w:tplc="3642CB62">
      <w:start w:val="1"/>
      <w:numFmt w:val="bullet"/>
      <w:lvlText w:val=""/>
      <w:lvlJc w:val="left"/>
      <w:pPr>
        <w:ind w:left="1170" w:hanging="45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C91177"/>
    <w:multiLevelType w:val="hybridMultilevel"/>
    <w:tmpl w:val="4D261C5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3" w15:restartNumberingAfterBreak="0">
    <w:nsid w:val="77913A1D"/>
    <w:multiLevelType w:val="hybridMultilevel"/>
    <w:tmpl w:val="5546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DF72B1"/>
    <w:multiLevelType w:val="hybridMultilevel"/>
    <w:tmpl w:val="3E3E5AE2"/>
    <w:lvl w:ilvl="0" w:tplc="E16C85E6">
      <w:numFmt w:val="bullet"/>
      <w:lvlText w:val="•"/>
      <w:lvlJc w:val="left"/>
      <w:pPr>
        <w:ind w:left="1080" w:hanging="720"/>
      </w:pPr>
      <w:rPr>
        <w:rFonts w:ascii="Arial" w:eastAsia="Times New Roman" w:hAnsi="Arial" w:hint="default"/>
        <w:w w:val="1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5105D"/>
    <w:multiLevelType w:val="hybridMultilevel"/>
    <w:tmpl w:val="028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D6B5F"/>
    <w:multiLevelType w:val="hybridMultilevel"/>
    <w:tmpl w:val="E8A0C8F6"/>
    <w:lvl w:ilvl="0" w:tplc="04090001">
      <w:start w:val="1"/>
      <w:numFmt w:val="bullet"/>
      <w:lvlText w:val=""/>
      <w:lvlJc w:val="left"/>
      <w:pPr>
        <w:ind w:left="720" w:hanging="360"/>
      </w:pPr>
      <w:rPr>
        <w:rFonts w:ascii="Symbol" w:hAnsi="Symbol" w:hint="default"/>
      </w:rPr>
    </w:lvl>
    <w:lvl w:ilvl="1" w:tplc="45285A86">
      <w:numFmt w:val="bullet"/>
      <w:lvlText w:val="•"/>
      <w:lvlJc w:val="left"/>
      <w:pPr>
        <w:ind w:left="2640" w:hanging="1560"/>
      </w:pPr>
      <w:rPr>
        <w:rFonts w:ascii="Times New Roman" w:eastAsia="Times New Roman" w:hAnsi="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755904">
    <w:abstractNumId w:val="1"/>
  </w:num>
  <w:num w:numId="2" w16cid:durableId="398139816">
    <w:abstractNumId w:val="0"/>
  </w:num>
  <w:num w:numId="3" w16cid:durableId="1727027326">
    <w:abstractNumId w:val="12"/>
  </w:num>
  <w:num w:numId="4" w16cid:durableId="1266233544">
    <w:abstractNumId w:val="13"/>
  </w:num>
  <w:num w:numId="5" w16cid:durableId="763458719">
    <w:abstractNumId w:val="10"/>
  </w:num>
  <w:num w:numId="6" w16cid:durableId="50348126">
    <w:abstractNumId w:val="20"/>
  </w:num>
  <w:num w:numId="7" w16cid:durableId="1949968018">
    <w:abstractNumId w:val="18"/>
  </w:num>
  <w:num w:numId="8" w16cid:durableId="1384789695">
    <w:abstractNumId w:val="6"/>
  </w:num>
  <w:num w:numId="9" w16cid:durableId="981886085">
    <w:abstractNumId w:val="17"/>
  </w:num>
  <w:num w:numId="10" w16cid:durableId="1324821064">
    <w:abstractNumId w:val="14"/>
  </w:num>
  <w:num w:numId="11" w16cid:durableId="1512180894">
    <w:abstractNumId w:val="22"/>
  </w:num>
  <w:num w:numId="12" w16cid:durableId="1817140365">
    <w:abstractNumId w:val="4"/>
  </w:num>
  <w:num w:numId="13" w16cid:durableId="59911197">
    <w:abstractNumId w:val="25"/>
  </w:num>
  <w:num w:numId="14" w16cid:durableId="371736628">
    <w:abstractNumId w:val="9"/>
  </w:num>
  <w:num w:numId="15" w16cid:durableId="492331070">
    <w:abstractNumId w:val="26"/>
  </w:num>
  <w:num w:numId="16" w16cid:durableId="168834298">
    <w:abstractNumId w:val="2"/>
  </w:num>
  <w:num w:numId="17" w16cid:durableId="1414745508">
    <w:abstractNumId w:val="19"/>
  </w:num>
  <w:num w:numId="18" w16cid:durableId="1593469596">
    <w:abstractNumId w:val="24"/>
  </w:num>
  <w:num w:numId="19" w16cid:durableId="1640646572">
    <w:abstractNumId w:val="11"/>
  </w:num>
  <w:num w:numId="20" w16cid:durableId="19087046">
    <w:abstractNumId w:val="21"/>
  </w:num>
  <w:num w:numId="21" w16cid:durableId="1185022774">
    <w:abstractNumId w:val="5"/>
  </w:num>
  <w:num w:numId="22" w16cid:durableId="1813936023">
    <w:abstractNumId w:val="3"/>
  </w:num>
  <w:num w:numId="23" w16cid:durableId="1173036213">
    <w:abstractNumId w:val="23"/>
  </w:num>
  <w:num w:numId="24" w16cid:durableId="867985469">
    <w:abstractNumId w:val="7"/>
  </w:num>
  <w:num w:numId="25" w16cid:durableId="1882085522">
    <w:abstractNumId w:val="15"/>
  </w:num>
  <w:num w:numId="26" w16cid:durableId="766465405">
    <w:abstractNumId w:val="16"/>
  </w:num>
  <w:num w:numId="27" w16cid:durableId="1940210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07"/>
    <w:rsid w:val="00044883"/>
    <w:rsid w:val="00047AB7"/>
    <w:rsid w:val="00050104"/>
    <w:rsid w:val="00050446"/>
    <w:rsid w:val="00072B91"/>
    <w:rsid w:val="000D5CD5"/>
    <w:rsid w:val="0010278B"/>
    <w:rsid w:val="001626C8"/>
    <w:rsid w:val="001755E2"/>
    <w:rsid w:val="00195F03"/>
    <w:rsid w:val="001C0D99"/>
    <w:rsid w:val="001D1443"/>
    <w:rsid w:val="001F79F4"/>
    <w:rsid w:val="0020412E"/>
    <w:rsid w:val="002335CE"/>
    <w:rsid w:val="00235CB9"/>
    <w:rsid w:val="00237C22"/>
    <w:rsid w:val="00251753"/>
    <w:rsid w:val="00264684"/>
    <w:rsid w:val="0027509E"/>
    <w:rsid w:val="002A41B5"/>
    <w:rsid w:val="002E75A8"/>
    <w:rsid w:val="00311EFB"/>
    <w:rsid w:val="00322E90"/>
    <w:rsid w:val="003278C6"/>
    <w:rsid w:val="00354CB7"/>
    <w:rsid w:val="00364E2B"/>
    <w:rsid w:val="003808D1"/>
    <w:rsid w:val="00396657"/>
    <w:rsid w:val="003A25AF"/>
    <w:rsid w:val="0040495B"/>
    <w:rsid w:val="00432EAF"/>
    <w:rsid w:val="00435FF7"/>
    <w:rsid w:val="00485113"/>
    <w:rsid w:val="004B38EC"/>
    <w:rsid w:val="004E3964"/>
    <w:rsid w:val="005225DA"/>
    <w:rsid w:val="00523ED1"/>
    <w:rsid w:val="00531739"/>
    <w:rsid w:val="0057633D"/>
    <w:rsid w:val="00581A0F"/>
    <w:rsid w:val="00587DD1"/>
    <w:rsid w:val="005932D2"/>
    <w:rsid w:val="00593E7C"/>
    <w:rsid w:val="005B6F1C"/>
    <w:rsid w:val="005C0D69"/>
    <w:rsid w:val="005C24F3"/>
    <w:rsid w:val="005C31CD"/>
    <w:rsid w:val="005D344D"/>
    <w:rsid w:val="005D78D2"/>
    <w:rsid w:val="005E6EF5"/>
    <w:rsid w:val="005F5D82"/>
    <w:rsid w:val="00603C40"/>
    <w:rsid w:val="00621AEF"/>
    <w:rsid w:val="00693ED9"/>
    <w:rsid w:val="006B6CEA"/>
    <w:rsid w:val="006D0CC0"/>
    <w:rsid w:val="006D5EA8"/>
    <w:rsid w:val="0070302E"/>
    <w:rsid w:val="00705E20"/>
    <w:rsid w:val="007A6522"/>
    <w:rsid w:val="007D3816"/>
    <w:rsid w:val="00804EE3"/>
    <w:rsid w:val="00827A06"/>
    <w:rsid w:val="00834274"/>
    <w:rsid w:val="008371F6"/>
    <w:rsid w:val="008A4362"/>
    <w:rsid w:val="008B3DA9"/>
    <w:rsid w:val="008C0C6E"/>
    <w:rsid w:val="008C4228"/>
    <w:rsid w:val="008F664D"/>
    <w:rsid w:val="00914EFC"/>
    <w:rsid w:val="00917C7E"/>
    <w:rsid w:val="009308EF"/>
    <w:rsid w:val="009628E8"/>
    <w:rsid w:val="00982E0B"/>
    <w:rsid w:val="009A3D07"/>
    <w:rsid w:val="009E4074"/>
    <w:rsid w:val="009E4E4F"/>
    <w:rsid w:val="00A11F4E"/>
    <w:rsid w:val="00A15B91"/>
    <w:rsid w:val="00A832B2"/>
    <w:rsid w:val="00AC371C"/>
    <w:rsid w:val="00AF6D9F"/>
    <w:rsid w:val="00B02D73"/>
    <w:rsid w:val="00B03A08"/>
    <w:rsid w:val="00B04E4B"/>
    <w:rsid w:val="00B3472C"/>
    <w:rsid w:val="00BE2FEC"/>
    <w:rsid w:val="00C21342"/>
    <w:rsid w:val="00C34D4D"/>
    <w:rsid w:val="00CA125C"/>
    <w:rsid w:val="00CA7DDB"/>
    <w:rsid w:val="00CB6EF5"/>
    <w:rsid w:val="00CC34F6"/>
    <w:rsid w:val="00CC5562"/>
    <w:rsid w:val="00CE2A49"/>
    <w:rsid w:val="00CE50EF"/>
    <w:rsid w:val="00CE69A5"/>
    <w:rsid w:val="00D02ECF"/>
    <w:rsid w:val="00D27605"/>
    <w:rsid w:val="00D27CC3"/>
    <w:rsid w:val="00D43F10"/>
    <w:rsid w:val="00D544EB"/>
    <w:rsid w:val="00D61675"/>
    <w:rsid w:val="00D61FBE"/>
    <w:rsid w:val="00D64D7C"/>
    <w:rsid w:val="00DB0209"/>
    <w:rsid w:val="00DE1A1A"/>
    <w:rsid w:val="00DE63C2"/>
    <w:rsid w:val="00E05A6E"/>
    <w:rsid w:val="00E07B92"/>
    <w:rsid w:val="00E52838"/>
    <w:rsid w:val="00E73B71"/>
    <w:rsid w:val="00EB0B00"/>
    <w:rsid w:val="00EC54AB"/>
    <w:rsid w:val="00EE714A"/>
    <w:rsid w:val="00F16A96"/>
    <w:rsid w:val="00F34CA6"/>
    <w:rsid w:val="00F42C59"/>
    <w:rsid w:val="00F80959"/>
    <w:rsid w:val="00F90453"/>
    <w:rsid w:val="00F92E79"/>
    <w:rsid w:val="00F93C1B"/>
    <w:rsid w:val="00FA582F"/>
    <w:rsid w:val="00FC4109"/>
    <w:rsid w:val="00FE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2C821"/>
  <w15:docId w15:val="{028E4901-DCC4-4A10-9AFB-8D19EFD2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3D07"/>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1"/>
    <w:qFormat/>
    <w:rsid w:val="009A3D07"/>
    <w:pPr>
      <w:ind w:left="696" w:hanging="576"/>
      <w:jc w:val="both"/>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3D07"/>
    <w:rPr>
      <w:rFonts w:ascii="Arial" w:eastAsia="Times New Roman" w:hAnsi="Arial" w:cs="Arial"/>
      <w:b/>
      <w:bCs/>
      <w:sz w:val="32"/>
      <w:szCs w:val="32"/>
    </w:rPr>
  </w:style>
  <w:style w:type="paragraph" w:styleId="BodyText">
    <w:name w:val="Body Text"/>
    <w:basedOn w:val="Normal"/>
    <w:link w:val="BodyTextChar"/>
    <w:uiPriority w:val="1"/>
    <w:qFormat/>
    <w:rsid w:val="009A3D07"/>
    <w:rPr>
      <w:i/>
      <w:iCs/>
      <w:sz w:val="18"/>
      <w:szCs w:val="18"/>
    </w:rPr>
  </w:style>
  <w:style w:type="character" w:customStyle="1" w:styleId="BodyTextChar">
    <w:name w:val="Body Text Char"/>
    <w:basedOn w:val="DefaultParagraphFont"/>
    <w:link w:val="BodyText"/>
    <w:uiPriority w:val="1"/>
    <w:rsid w:val="009A3D07"/>
    <w:rPr>
      <w:rFonts w:ascii="Arial" w:eastAsia="Times New Roman" w:hAnsi="Arial" w:cs="Arial"/>
      <w:i/>
      <w:iCs/>
      <w:sz w:val="18"/>
      <w:szCs w:val="18"/>
    </w:rPr>
  </w:style>
  <w:style w:type="paragraph" w:styleId="ListParagraph">
    <w:name w:val="List Paragraph"/>
    <w:basedOn w:val="Normal"/>
    <w:uiPriority w:val="34"/>
    <w:qFormat/>
    <w:rsid w:val="009A3D07"/>
    <w:pPr>
      <w:ind w:left="696" w:hanging="576"/>
      <w:jc w:val="both"/>
    </w:pPr>
  </w:style>
  <w:style w:type="paragraph" w:customStyle="1" w:styleId="TableParagraph">
    <w:name w:val="Table Paragraph"/>
    <w:basedOn w:val="Normal"/>
    <w:uiPriority w:val="1"/>
    <w:qFormat/>
    <w:rsid w:val="009A3D07"/>
    <w:pPr>
      <w:ind w:left="1107" w:right="1107"/>
      <w:jc w:val="center"/>
    </w:pPr>
  </w:style>
  <w:style w:type="paragraph" w:styleId="Header">
    <w:name w:val="header"/>
    <w:basedOn w:val="Normal"/>
    <w:link w:val="HeaderChar"/>
    <w:uiPriority w:val="99"/>
    <w:unhideWhenUsed/>
    <w:rsid w:val="009A3D07"/>
    <w:pPr>
      <w:tabs>
        <w:tab w:val="center" w:pos="4680"/>
        <w:tab w:val="right" w:pos="9360"/>
      </w:tabs>
    </w:pPr>
  </w:style>
  <w:style w:type="character" w:customStyle="1" w:styleId="HeaderChar">
    <w:name w:val="Header Char"/>
    <w:basedOn w:val="DefaultParagraphFont"/>
    <w:link w:val="Header"/>
    <w:uiPriority w:val="99"/>
    <w:rsid w:val="009A3D07"/>
    <w:rPr>
      <w:rFonts w:ascii="Arial" w:eastAsia="Times New Roman" w:hAnsi="Arial" w:cs="Arial"/>
      <w:sz w:val="24"/>
      <w:szCs w:val="24"/>
    </w:rPr>
  </w:style>
  <w:style w:type="paragraph" w:styleId="Footer">
    <w:name w:val="footer"/>
    <w:basedOn w:val="Normal"/>
    <w:link w:val="FooterChar"/>
    <w:uiPriority w:val="99"/>
    <w:unhideWhenUsed/>
    <w:rsid w:val="009A3D07"/>
    <w:pPr>
      <w:tabs>
        <w:tab w:val="center" w:pos="4680"/>
        <w:tab w:val="right" w:pos="9360"/>
      </w:tabs>
    </w:pPr>
  </w:style>
  <w:style w:type="character" w:customStyle="1" w:styleId="FooterChar">
    <w:name w:val="Footer Char"/>
    <w:basedOn w:val="DefaultParagraphFont"/>
    <w:link w:val="Footer"/>
    <w:uiPriority w:val="99"/>
    <w:rsid w:val="009A3D07"/>
    <w:rPr>
      <w:rFonts w:ascii="Arial" w:eastAsia="Times New Roman" w:hAnsi="Arial" w:cs="Arial"/>
      <w:sz w:val="24"/>
      <w:szCs w:val="24"/>
    </w:rPr>
  </w:style>
  <w:style w:type="paragraph" w:styleId="BalloonText">
    <w:name w:val="Balloon Text"/>
    <w:basedOn w:val="Normal"/>
    <w:link w:val="BalloonTextChar"/>
    <w:uiPriority w:val="99"/>
    <w:semiHidden/>
    <w:rsid w:val="002335CE"/>
    <w:pPr>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335CE"/>
    <w:rPr>
      <w:rFonts w:ascii="Tahoma" w:eastAsia="Calibri" w:hAnsi="Tahoma" w:cs="Tahoma"/>
      <w:sz w:val="16"/>
      <w:szCs w:val="16"/>
    </w:rPr>
  </w:style>
  <w:style w:type="paragraph" w:customStyle="1" w:styleId="Default">
    <w:name w:val="Default"/>
    <w:rsid w:val="002335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2E75A8"/>
    <w:pPr>
      <w:spacing w:after="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B02D73"/>
    <w:rPr>
      <w:sz w:val="16"/>
      <w:szCs w:val="16"/>
    </w:rPr>
  </w:style>
  <w:style w:type="paragraph" w:styleId="CommentText">
    <w:name w:val="annotation text"/>
    <w:basedOn w:val="Normal"/>
    <w:link w:val="CommentTextChar"/>
    <w:uiPriority w:val="99"/>
    <w:unhideWhenUsed/>
    <w:rsid w:val="00B02D73"/>
    <w:rPr>
      <w:sz w:val="20"/>
      <w:szCs w:val="20"/>
    </w:rPr>
  </w:style>
  <w:style w:type="character" w:customStyle="1" w:styleId="CommentTextChar">
    <w:name w:val="Comment Text Char"/>
    <w:basedOn w:val="DefaultParagraphFont"/>
    <w:link w:val="CommentText"/>
    <w:uiPriority w:val="99"/>
    <w:rsid w:val="00B02D7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2D73"/>
    <w:rPr>
      <w:b/>
      <w:bCs/>
    </w:rPr>
  </w:style>
  <w:style w:type="character" w:customStyle="1" w:styleId="CommentSubjectChar">
    <w:name w:val="Comment Subject Char"/>
    <w:basedOn w:val="CommentTextChar"/>
    <w:link w:val="CommentSubject"/>
    <w:uiPriority w:val="99"/>
    <w:semiHidden/>
    <w:rsid w:val="00B02D73"/>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7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9754-E6C5-4C75-9269-11D06FA6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Brown</dc:creator>
  <cp:keywords/>
  <dc:description/>
  <cp:lastModifiedBy>Paul Antonneau</cp:lastModifiedBy>
  <cp:revision>2</cp:revision>
  <dcterms:created xsi:type="dcterms:W3CDTF">2022-07-08T18:44:00Z</dcterms:created>
  <dcterms:modified xsi:type="dcterms:W3CDTF">2022-07-08T18:44:00Z</dcterms:modified>
</cp:coreProperties>
</file>